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20" w:type="dxa"/>
        <w:tblInd w:w="-32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7"/>
        <w:gridCol w:w="70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9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福建中医药大学教职工会员观影活动服务报价单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公司全称</w:t>
            </w:r>
          </w:p>
        </w:tc>
        <w:tc>
          <w:tcPr>
            <w:tcW w:w="7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抵扣金额</w:t>
            </w:r>
          </w:p>
        </w:tc>
        <w:tc>
          <w:tcPr>
            <w:tcW w:w="7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有效期和回款方式</w:t>
            </w:r>
          </w:p>
        </w:tc>
        <w:tc>
          <w:tcPr>
            <w:tcW w:w="7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华文楷体" w:hAnsi="华文楷体" w:eastAsia="华文楷体" w:cs="华文楷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（注：有效期不得少于6个月）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0" w:hRule="atLeast"/>
        </w:trPr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影城数量</w:t>
            </w:r>
          </w:p>
        </w:tc>
        <w:tc>
          <w:tcPr>
            <w:tcW w:w="7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必须提供福州市区（含长乐、马尾）、闽侯上街、高新区、南屿地区可观影影城数量和地点，具体影城信息可以附件形式提供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</w:trPr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可兑换影片及服务类型</w:t>
            </w:r>
          </w:p>
        </w:tc>
        <w:tc>
          <w:tcPr>
            <w:tcW w:w="7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是否2D/3D影片，是否包含imax、巨幕等特殊观影厅等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补差条件</w:t>
            </w:r>
          </w:p>
        </w:tc>
        <w:tc>
          <w:tcPr>
            <w:tcW w:w="7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附加服务</w:t>
            </w:r>
          </w:p>
        </w:tc>
        <w:tc>
          <w:tcPr>
            <w:tcW w:w="7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9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联系人：        联系方式：            年  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4YzZjZTYxNWZlYTkzZDZlZmYxZGU5MjUxZDg1OWYifQ=="/>
  </w:docVars>
  <w:rsids>
    <w:rsidRoot w:val="3F400CE5"/>
    <w:rsid w:val="3F400CE5"/>
    <w:rsid w:val="56FF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