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before="60" w:beforeAutospacing="0" w:after="60" w:afterAutospacing="0"/>
        <w:jc w:val="center"/>
        <w:rPr>
          <w:b/>
          <w:sz w:val="48"/>
          <w:szCs w:val="48"/>
        </w:rPr>
      </w:pPr>
      <w:bookmarkStart w:id="0" w:name="_Hlk99484934"/>
      <w:r>
        <w:rPr>
          <w:rFonts w:hint="eastAsia"/>
          <w:b/>
          <w:sz w:val="48"/>
          <w:szCs w:val="48"/>
        </w:rPr>
        <w:t>福建中医药大学</w:t>
      </w:r>
    </w:p>
    <w:p>
      <w:pPr>
        <w:pStyle w:val="27"/>
        <w:spacing w:before="60" w:beforeAutospacing="0" w:after="60" w:afterAutospacing="0"/>
        <w:jc w:val="center"/>
        <w:rPr>
          <w:b/>
          <w:sz w:val="44"/>
          <w:szCs w:val="18"/>
        </w:rPr>
      </w:pPr>
      <w:r>
        <w:rPr>
          <w:rFonts w:hint="eastAsia"/>
          <w:b/>
          <w:sz w:val="44"/>
          <w:szCs w:val="18"/>
        </w:rPr>
        <w:t>数据中心运维服务</w:t>
      </w:r>
      <w:bookmarkStart w:id="98" w:name="_GoBack"/>
      <w:bookmarkEnd w:id="98"/>
    </w:p>
    <w:p>
      <w:pPr>
        <w:pStyle w:val="27"/>
        <w:numPr>
          <w:ilvl w:val="0"/>
          <w:numId w:val="4"/>
        </w:numPr>
        <w:spacing w:before="60" w:beforeAutospacing="0" w:after="60" w:afterAutospacing="0"/>
        <w:outlineLvl w:val="0"/>
        <w:rPr>
          <w:b/>
          <w:sz w:val="28"/>
          <w:szCs w:val="28"/>
        </w:rPr>
      </w:pPr>
      <w:r>
        <w:rPr>
          <w:rFonts w:hint="eastAsia"/>
          <w:b/>
          <w:sz w:val="28"/>
          <w:szCs w:val="28"/>
        </w:rPr>
        <w:t>项目概况</w:t>
      </w:r>
    </w:p>
    <w:p>
      <w:pPr>
        <w:spacing w:line="360" w:lineRule="auto"/>
        <w:ind w:firstLine="480" w:firstLineChars="200"/>
        <w:rPr>
          <w:rFonts w:ascii="宋体" w:hAnsi="宋体"/>
          <w:sz w:val="24"/>
        </w:rPr>
      </w:pPr>
      <w:r>
        <w:rPr>
          <w:rFonts w:hint="eastAsia" w:ascii="宋体" w:hAnsi="宋体"/>
          <w:sz w:val="24"/>
        </w:rPr>
        <w:t>随着福建中医药大学数据中心</w:t>
      </w:r>
      <w:r>
        <w:rPr>
          <w:rFonts w:ascii="宋体" w:hAnsi="宋体"/>
          <w:sz w:val="24"/>
        </w:rPr>
        <w:t>工作重点已经从基础设施建设向深化应用逐步转移</w:t>
      </w:r>
      <w:r>
        <w:rPr>
          <w:rFonts w:hint="eastAsia" w:ascii="宋体" w:hAnsi="宋体"/>
          <w:sz w:val="24"/>
        </w:rPr>
        <w:t>，</w:t>
      </w:r>
      <w:r>
        <w:rPr>
          <w:rFonts w:ascii="宋体" w:hAnsi="宋体"/>
          <w:sz w:val="24"/>
        </w:rPr>
        <w:t>信息技术应用与业务之间已形成良性互动发展的趋势。</w:t>
      </w:r>
      <w:r>
        <w:rPr>
          <w:rFonts w:hint="eastAsia" w:ascii="宋体" w:hAnsi="宋体"/>
          <w:sz w:val="24"/>
        </w:rPr>
        <w:t>福建中医药大学数据中心</w:t>
      </w:r>
      <w:r>
        <w:rPr>
          <w:rFonts w:ascii="宋体" w:hAnsi="宋体"/>
          <w:sz w:val="24"/>
        </w:rPr>
        <w:t>信息化系统建设具有特别的重要性和特殊性，尤其以行政系统为核心，扩展到相应的关键业务子系统及集成项目，其运行环境多系统、多数据库、多应用平台、多厂商网络及系统设备，多业务应用等复杂的管理环境。</w:t>
      </w:r>
    </w:p>
    <w:p>
      <w:pPr>
        <w:spacing w:line="360" w:lineRule="auto"/>
        <w:ind w:firstLine="480" w:firstLineChars="200"/>
        <w:rPr>
          <w:rFonts w:ascii="宋体" w:hAnsi="宋体"/>
          <w:sz w:val="24"/>
        </w:rPr>
      </w:pPr>
      <w:r>
        <w:rPr>
          <w:rFonts w:hint="eastAsia" w:ascii="宋体" w:hAnsi="宋体"/>
          <w:sz w:val="24"/>
        </w:rPr>
        <w:t>随着福建中医药大学数据中心信息化业务系统的不断扩大，数据中心整体可靠及稳定显得尤为重要，福建中医药大学数据中心信息平台对</w:t>
      </w:r>
      <w:r>
        <w:fldChar w:fldCharType="begin"/>
      </w:r>
      <w:r>
        <w:instrText xml:space="preserve"> HYPERLINK "https://www.baidu.com/s?wd=IT%E7%B3%BB%E7%BB%9F&amp;tn=44039180_cpr&amp;fenlei=mv6quAkxTZn0IZRqIHckPjm4nH00T1YLuADsrHmvnWubnj7bPjf30ZwV5Hcvrjm3rH6sPfKWUMw85HfYnjn4nH6sgvPsT6KdThsqpZwYTjCEQLGCpyw9Uz4Bmy-bIi4WUvYETgN-TLwGUv3EnH63PHfLPWT4nW61nWDkPjT3r0" \t "_blank" </w:instrText>
      </w:r>
      <w:r>
        <w:fldChar w:fldCharType="separate"/>
      </w:r>
      <w:r>
        <w:rPr>
          <w:rFonts w:hint="eastAsia" w:ascii="宋体" w:hAnsi="宋体"/>
          <w:sz w:val="24"/>
        </w:rPr>
        <w:t>IT系统</w:t>
      </w:r>
      <w:r>
        <w:rPr>
          <w:rFonts w:hint="eastAsia" w:ascii="宋体" w:hAnsi="宋体"/>
          <w:sz w:val="24"/>
        </w:rPr>
        <w:fldChar w:fldCharType="end"/>
      </w:r>
      <w:r>
        <w:rPr>
          <w:rFonts w:hint="eastAsia" w:ascii="宋体" w:hAnsi="宋体"/>
          <w:sz w:val="24"/>
        </w:rPr>
        <w:t>依赖程度的增加，数据中心的工作质量将直接影响到学校各业务系统的稳定。</w:t>
      </w:r>
    </w:p>
    <w:p>
      <w:pPr>
        <w:spacing w:line="360" w:lineRule="auto"/>
        <w:ind w:firstLine="480" w:firstLineChars="200"/>
        <w:rPr>
          <w:rFonts w:hint="eastAsia"/>
          <w:b/>
          <w:sz w:val="28"/>
          <w:szCs w:val="28"/>
        </w:rPr>
      </w:pPr>
      <w:r>
        <w:rPr>
          <w:rFonts w:hint="eastAsia" w:ascii="宋体" w:hAnsi="宋体"/>
          <w:sz w:val="24"/>
        </w:rPr>
        <w:t>在此背景下，福建中医药大学数据中心的运行维护和建设对比，已经变得同等重要，因各应用系统的维护难度和专业度的不断加深，信息系统建设后的有效应用更依赖于高质量的</w:t>
      </w:r>
      <w:r>
        <w:rPr>
          <w:rFonts w:ascii="宋体" w:hAnsi="宋体"/>
          <w:sz w:val="24"/>
        </w:rPr>
        <w:t>IT运行维护服务。</w:t>
      </w:r>
    </w:p>
    <w:p>
      <w:pPr>
        <w:pStyle w:val="27"/>
        <w:numPr>
          <w:ilvl w:val="0"/>
          <w:numId w:val="4"/>
        </w:numPr>
        <w:spacing w:before="60" w:beforeAutospacing="0" w:after="60" w:afterAutospacing="0"/>
        <w:outlineLvl w:val="0"/>
        <w:rPr>
          <w:rFonts w:hint="eastAsia"/>
          <w:b/>
          <w:sz w:val="28"/>
          <w:szCs w:val="28"/>
        </w:rPr>
      </w:pPr>
      <w:r>
        <w:rPr>
          <w:rFonts w:hint="eastAsia"/>
          <w:b/>
          <w:sz w:val="28"/>
          <w:szCs w:val="28"/>
        </w:rPr>
        <w:t>服务一览表</w:t>
      </w:r>
    </w:p>
    <w:tbl>
      <w:tblPr>
        <w:tblStyle w:val="29"/>
        <w:tblW w:w="5257" w:type="pct"/>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898"/>
        <w:gridCol w:w="1722"/>
        <w:gridCol w:w="2041"/>
        <w:gridCol w:w="869"/>
        <w:gridCol w:w="1601"/>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blHeader/>
        </w:trPr>
        <w:tc>
          <w:tcPr>
            <w:tcW w:w="476" w:type="pct"/>
            <w:vAlign w:val="center"/>
          </w:tcPr>
          <w:p>
            <w:pPr>
              <w:jc w:val="center"/>
              <w:rPr>
                <w:rFonts w:hint="eastAsia" w:ascii="宋体" w:hAnsi="宋体"/>
                <w:b/>
                <w:sz w:val="24"/>
              </w:rPr>
            </w:pPr>
            <w:r>
              <w:rPr>
                <w:rFonts w:hint="eastAsia" w:ascii="宋体" w:hAnsi="宋体"/>
                <w:b/>
                <w:sz w:val="24"/>
              </w:rPr>
              <w:t>合同包</w:t>
            </w:r>
          </w:p>
        </w:tc>
        <w:tc>
          <w:tcPr>
            <w:tcW w:w="490" w:type="pct"/>
            <w:vAlign w:val="center"/>
          </w:tcPr>
          <w:p>
            <w:pPr>
              <w:jc w:val="center"/>
              <w:rPr>
                <w:rFonts w:hint="eastAsia" w:ascii="宋体" w:hAnsi="宋体"/>
                <w:b/>
                <w:sz w:val="24"/>
              </w:rPr>
            </w:pPr>
            <w:r>
              <w:rPr>
                <w:rFonts w:hint="eastAsia" w:ascii="宋体" w:hAnsi="宋体"/>
                <w:b/>
                <w:sz w:val="24"/>
              </w:rPr>
              <w:t>品目号</w:t>
            </w:r>
          </w:p>
        </w:tc>
        <w:tc>
          <w:tcPr>
            <w:tcW w:w="939" w:type="pct"/>
            <w:vAlign w:val="center"/>
          </w:tcPr>
          <w:p>
            <w:pPr>
              <w:jc w:val="center"/>
              <w:rPr>
                <w:rFonts w:hint="eastAsia" w:ascii="宋体" w:hAnsi="宋体" w:eastAsia="宋体"/>
                <w:b/>
                <w:sz w:val="24"/>
                <w:lang w:val="en-US" w:eastAsia="zh-CN"/>
              </w:rPr>
            </w:pPr>
            <w:r>
              <w:rPr>
                <w:rFonts w:hint="eastAsia" w:ascii="宋体" w:hAnsi="宋体"/>
                <w:b/>
                <w:sz w:val="24"/>
              </w:rPr>
              <w:t>服务</w:t>
            </w:r>
            <w:r>
              <w:rPr>
                <w:rFonts w:hint="eastAsia" w:ascii="宋体" w:hAnsi="宋体"/>
                <w:b/>
                <w:sz w:val="24"/>
                <w:lang w:val="en-US" w:eastAsia="zh-CN"/>
              </w:rPr>
              <w:t>内容</w:t>
            </w:r>
          </w:p>
        </w:tc>
        <w:tc>
          <w:tcPr>
            <w:tcW w:w="1113" w:type="pct"/>
            <w:vAlign w:val="center"/>
          </w:tcPr>
          <w:p>
            <w:pPr>
              <w:rPr>
                <w:rFonts w:hint="eastAsia" w:ascii="宋体" w:hAnsi="宋体"/>
                <w:b/>
                <w:sz w:val="24"/>
              </w:rPr>
            </w:pPr>
            <w:r>
              <w:rPr>
                <w:rFonts w:hint="eastAsia" w:ascii="宋体" w:hAnsi="宋体"/>
                <w:b/>
                <w:sz w:val="24"/>
              </w:rPr>
              <w:t>主要内容和要求</w:t>
            </w:r>
          </w:p>
        </w:tc>
        <w:tc>
          <w:tcPr>
            <w:tcW w:w="474" w:type="pct"/>
            <w:vAlign w:val="center"/>
          </w:tcPr>
          <w:p>
            <w:pPr>
              <w:jc w:val="center"/>
              <w:rPr>
                <w:rFonts w:hint="eastAsia" w:ascii="宋体" w:hAnsi="宋体"/>
                <w:b/>
                <w:color w:val="000000"/>
                <w:sz w:val="24"/>
              </w:rPr>
            </w:pPr>
            <w:r>
              <w:rPr>
                <w:rFonts w:hint="eastAsia" w:ascii="宋体" w:hAnsi="宋体"/>
                <w:b/>
                <w:color w:val="000000"/>
                <w:sz w:val="24"/>
              </w:rPr>
              <w:t>数量</w:t>
            </w:r>
          </w:p>
        </w:tc>
        <w:tc>
          <w:tcPr>
            <w:tcW w:w="873" w:type="pct"/>
            <w:vAlign w:val="center"/>
          </w:tcPr>
          <w:p>
            <w:pPr>
              <w:jc w:val="center"/>
              <w:rPr>
                <w:rFonts w:hint="eastAsia" w:ascii="宋体" w:hAnsi="宋体"/>
                <w:b/>
                <w:sz w:val="24"/>
              </w:rPr>
            </w:pPr>
            <w:r>
              <w:rPr>
                <w:rFonts w:hint="eastAsia" w:ascii="宋体" w:hAnsi="宋体"/>
                <w:b/>
                <w:sz w:val="24"/>
              </w:rPr>
              <w:t>单价</w:t>
            </w:r>
          </w:p>
        </w:tc>
        <w:tc>
          <w:tcPr>
            <w:tcW w:w="635" w:type="pct"/>
            <w:vAlign w:val="center"/>
          </w:tcPr>
          <w:p>
            <w:pPr>
              <w:jc w:val="center"/>
              <w:rPr>
                <w:rFonts w:hint="eastAsia" w:ascii="宋体" w:hAnsi="宋体"/>
                <w:b/>
                <w:sz w:val="24"/>
              </w:rPr>
            </w:pPr>
            <w:r>
              <w:rPr>
                <w:rFonts w:hint="eastAsia" w:ascii="宋体" w:hAnsi="宋体"/>
                <w:b/>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blHeader/>
        </w:trPr>
        <w:tc>
          <w:tcPr>
            <w:tcW w:w="476" w:type="pct"/>
            <w:vAlign w:val="center"/>
          </w:tcPr>
          <w:p>
            <w:pPr>
              <w:rPr>
                <w:rFonts w:hint="eastAsia" w:ascii="宋体" w:hAnsi="宋体"/>
                <w:sz w:val="24"/>
              </w:rPr>
            </w:pPr>
            <w:r>
              <w:rPr>
                <w:rFonts w:ascii="宋体" w:hAnsi="宋体"/>
                <w:sz w:val="24"/>
              </w:rPr>
              <w:t>1</w:t>
            </w:r>
          </w:p>
        </w:tc>
        <w:tc>
          <w:tcPr>
            <w:tcW w:w="490" w:type="pct"/>
            <w:vAlign w:val="center"/>
          </w:tcPr>
          <w:p>
            <w:pPr>
              <w:rPr>
                <w:rFonts w:hint="eastAsia" w:ascii="宋体" w:hAnsi="宋体"/>
                <w:sz w:val="24"/>
              </w:rPr>
            </w:pPr>
            <w:r>
              <w:rPr>
                <w:rFonts w:hint="eastAsia" w:ascii="宋体" w:hAnsi="宋体"/>
                <w:sz w:val="24"/>
              </w:rPr>
              <w:t>1-</w:t>
            </w:r>
            <w:r>
              <w:rPr>
                <w:rFonts w:ascii="宋体" w:hAnsi="宋体"/>
                <w:sz w:val="24"/>
              </w:rPr>
              <w:t>1</w:t>
            </w:r>
          </w:p>
        </w:tc>
        <w:tc>
          <w:tcPr>
            <w:tcW w:w="939" w:type="pct"/>
            <w:vAlign w:val="center"/>
          </w:tcPr>
          <w:p>
            <w:pPr>
              <w:jc w:val="left"/>
              <w:rPr>
                <w:rFonts w:hint="eastAsia" w:ascii="宋体" w:hAnsi="宋体"/>
                <w:sz w:val="24"/>
              </w:rPr>
            </w:pPr>
            <w:r>
              <w:rPr>
                <w:rFonts w:ascii="宋体" w:hAnsi="宋体" w:cs="宋体"/>
                <w:kern w:val="0"/>
                <w:sz w:val="24"/>
              </w:rPr>
              <w:t>数据中心运维服务</w:t>
            </w:r>
          </w:p>
        </w:tc>
        <w:tc>
          <w:tcPr>
            <w:tcW w:w="1113" w:type="pct"/>
            <w:vAlign w:val="center"/>
          </w:tcPr>
          <w:p>
            <w:pPr>
              <w:rPr>
                <w:rFonts w:hint="eastAsia" w:ascii="宋体" w:hAnsi="宋体"/>
                <w:color w:val="FF0000"/>
                <w:sz w:val="24"/>
              </w:rPr>
            </w:pPr>
            <w:r>
              <w:rPr>
                <w:rFonts w:hint="eastAsia" w:ascii="宋体" w:hAnsi="宋体"/>
                <w:kern w:val="0"/>
                <w:sz w:val="24"/>
              </w:rPr>
              <w:t>详见技术和服务要求</w:t>
            </w:r>
          </w:p>
        </w:tc>
        <w:tc>
          <w:tcPr>
            <w:tcW w:w="474" w:type="pct"/>
            <w:vAlign w:val="center"/>
          </w:tcPr>
          <w:p>
            <w:pPr>
              <w:rPr>
                <w:rFonts w:hint="eastAsia" w:ascii="宋体" w:hAnsi="宋体"/>
                <w:color w:val="FF0000"/>
                <w:sz w:val="24"/>
              </w:rPr>
            </w:pPr>
            <w:r>
              <w:rPr>
                <w:rFonts w:hint="eastAsia" w:ascii="宋体" w:hAnsi="宋体"/>
                <w:sz w:val="24"/>
                <w:lang w:val="en-US" w:eastAsia="zh-CN"/>
              </w:rPr>
              <w:t>2</w:t>
            </w:r>
            <w:r>
              <w:rPr>
                <w:rFonts w:hint="eastAsia" w:ascii="宋体" w:hAnsi="宋体"/>
                <w:sz w:val="24"/>
              </w:rPr>
              <w:t>年</w:t>
            </w:r>
          </w:p>
        </w:tc>
        <w:tc>
          <w:tcPr>
            <w:tcW w:w="873" w:type="pct"/>
            <w:vAlign w:val="center"/>
          </w:tcPr>
          <w:p>
            <w:pPr>
              <w:jc w:val="center"/>
              <w:rPr>
                <w:rFonts w:hint="eastAsia" w:ascii="宋体" w:hAnsi="宋体"/>
                <w:sz w:val="24"/>
              </w:rPr>
            </w:pPr>
            <w:r>
              <w:rPr>
                <w:rFonts w:ascii="宋体" w:hAnsi="宋体"/>
                <w:sz w:val="24"/>
              </w:rPr>
              <w:t>10</w:t>
            </w:r>
            <w:r>
              <w:rPr>
                <w:rFonts w:hint="eastAsia" w:ascii="宋体" w:hAnsi="宋体"/>
                <w:sz w:val="24"/>
              </w:rPr>
              <w:t>万元/年</w:t>
            </w:r>
          </w:p>
        </w:tc>
        <w:tc>
          <w:tcPr>
            <w:tcW w:w="635" w:type="pct"/>
            <w:vAlign w:val="center"/>
          </w:tcPr>
          <w:p>
            <w:pPr>
              <w:jc w:val="center"/>
              <w:rPr>
                <w:rFonts w:hint="eastAsia" w:ascii="宋体" w:hAnsi="宋体"/>
                <w:sz w:val="24"/>
              </w:rPr>
            </w:pPr>
            <w:r>
              <w:rPr>
                <w:rFonts w:hint="eastAsia" w:ascii="宋体" w:hAnsi="宋体"/>
                <w:sz w:val="24"/>
                <w:lang w:val="en-US" w:eastAsia="zh-CN"/>
              </w:rPr>
              <w:t>2</w:t>
            </w:r>
            <w:r>
              <w:rPr>
                <w:rFonts w:ascii="宋体" w:hAnsi="宋体"/>
                <w:sz w:val="24"/>
              </w:rPr>
              <w:t>0</w:t>
            </w:r>
            <w:r>
              <w:rPr>
                <w:rFonts w:hint="eastAsia" w:ascii="宋体" w:hAnsi="宋体"/>
                <w:sz w:val="24"/>
              </w:rPr>
              <w:t>万元</w:t>
            </w:r>
          </w:p>
        </w:tc>
      </w:tr>
    </w:tbl>
    <w:p>
      <w:pPr>
        <w:pStyle w:val="27"/>
        <w:spacing w:before="60" w:beforeAutospacing="0" w:after="60" w:afterAutospacing="0"/>
        <w:rPr>
          <w:b/>
        </w:rPr>
      </w:pPr>
    </w:p>
    <w:p>
      <w:pPr>
        <w:pStyle w:val="27"/>
        <w:numPr>
          <w:ilvl w:val="0"/>
          <w:numId w:val="4"/>
        </w:numPr>
        <w:spacing w:before="60" w:beforeAutospacing="0" w:after="60" w:afterAutospacing="0"/>
        <w:outlineLvl w:val="0"/>
        <w:rPr>
          <w:rFonts w:hint="eastAsia"/>
          <w:bCs/>
        </w:rPr>
      </w:pPr>
      <w:r>
        <w:rPr>
          <w:b/>
          <w:sz w:val="28"/>
          <w:szCs w:val="28"/>
        </w:rPr>
        <w:t>技术和服务要求</w:t>
      </w:r>
    </w:p>
    <w:p>
      <w:pPr>
        <w:pStyle w:val="27"/>
        <w:spacing w:before="60" w:beforeAutospacing="0" w:after="60" w:afterAutospacing="0"/>
        <w:jc w:val="center"/>
        <w:rPr>
          <w:rFonts w:hint="eastAsia"/>
          <w:b/>
        </w:rPr>
      </w:pPr>
    </w:p>
    <w:p>
      <w:pPr>
        <w:pStyle w:val="3"/>
        <w:numPr>
          <w:ilvl w:val="0"/>
          <w:numId w:val="0"/>
        </w:numPr>
        <w:ind w:left="576" w:hanging="576"/>
      </w:pPr>
      <w:bookmarkStart w:id="1" w:name="_Toc512256098"/>
      <w:bookmarkStart w:id="2" w:name="_Toc99380886"/>
      <w:r>
        <w:rPr>
          <w:rFonts w:hint="eastAsia"/>
        </w:rPr>
        <w:t>3.</w:t>
      </w:r>
      <w:r>
        <w:t>1</w:t>
      </w:r>
      <w:r>
        <w:rPr>
          <w:rFonts w:hint="eastAsia"/>
        </w:rPr>
        <w:t>整体硬件设备运维服务</w:t>
      </w:r>
      <w:bookmarkEnd w:id="1"/>
      <w:bookmarkEnd w:id="2"/>
    </w:p>
    <w:p>
      <w:pPr>
        <w:pStyle w:val="75"/>
        <w:keepNext/>
        <w:keepLines/>
        <w:widowControl w:val="0"/>
        <w:numPr>
          <w:ilvl w:val="0"/>
          <w:numId w:val="2"/>
        </w:numPr>
        <w:spacing w:before="260" w:after="260" w:line="416" w:lineRule="auto"/>
        <w:ind w:firstLineChars="0"/>
        <w:jc w:val="both"/>
        <w:outlineLvl w:val="2"/>
        <w:rPr>
          <w:rFonts w:cs="Times New Roman"/>
          <w:b/>
          <w:vanish/>
          <w:color w:val="000000"/>
          <w:kern w:val="2"/>
          <w:sz w:val="30"/>
          <w:szCs w:val="30"/>
        </w:rPr>
      </w:pPr>
      <w:bookmarkStart w:id="3" w:name="_Toc99380022"/>
      <w:bookmarkEnd w:id="3"/>
      <w:bookmarkStart w:id="4" w:name="_Toc99379814"/>
      <w:bookmarkEnd w:id="4"/>
      <w:bookmarkStart w:id="5" w:name="_Toc99379971"/>
      <w:bookmarkEnd w:id="5"/>
      <w:bookmarkStart w:id="6" w:name="_Toc99380887"/>
      <w:bookmarkEnd w:id="6"/>
      <w:bookmarkStart w:id="7" w:name="_Toc99379930"/>
      <w:bookmarkEnd w:id="7"/>
      <w:bookmarkStart w:id="8" w:name="_Toc99485176"/>
      <w:bookmarkEnd w:id="8"/>
      <w:bookmarkStart w:id="9" w:name="_Toc99381223"/>
      <w:bookmarkEnd w:id="9"/>
      <w:bookmarkStart w:id="10" w:name="_Toc99380231"/>
      <w:bookmarkEnd w:id="10"/>
      <w:bookmarkStart w:id="11" w:name="_Toc99485390"/>
      <w:bookmarkEnd w:id="11"/>
      <w:bookmarkStart w:id="12" w:name="_Toc103673409"/>
      <w:bookmarkEnd w:id="12"/>
      <w:bookmarkStart w:id="13" w:name="_Toc99381168"/>
      <w:bookmarkEnd w:id="13"/>
      <w:bookmarkStart w:id="14" w:name="_Toc99380343"/>
      <w:bookmarkEnd w:id="14"/>
      <w:bookmarkStart w:id="15" w:name="_Toc103673377"/>
      <w:bookmarkEnd w:id="15"/>
      <w:bookmarkStart w:id="16" w:name="_Toc99380891"/>
      <w:bookmarkStart w:id="17" w:name="_Toc512256100"/>
    </w:p>
    <w:p>
      <w:pPr>
        <w:pStyle w:val="75"/>
        <w:keepNext/>
        <w:keepLines/>
        <w:widowControl w:val="0"/>
        <w:numPr>
          <w:ilvl w:val="1"/>
          <w:numId w:val="2"/>
        </w:numPr>
        <w:spacing w:before="260" w:after="260" w:line="416" w:lineRule="auto"/>
        <w:ind w:firstLine="0" w:firstLineChars="0"/>
        <w:jc w:val="both"/>
        <w:outlineLvl w:val="2"/>
        <w:rPr>
          <w:rFonts w:cs="Times New Roman"/>
          <w:b/>
          <w:vanish/>
          <w:color w:val="000000"/>
          <w:kern w:val="2"/>
          <w:sz w:val="30"/>
          <w:szCs w:val="30"/>
        </w:rPr>
      </w:pPr>
      <w:bookmarkStart w:id="18" w:name="_Toc99485177"/>
      <w:bookmarkEnd w:id="18"/>
      <w:bookmarkStart w:id="19" w:name="_Toc99485391"/>
      <w:bookmarkEnd w:id="19"/>
    </w:p>
    <w:p>
      <w:pPr>
        <w:pStyle w:val="4"/>
        <w:numPr>
          <w:ilvl w:val="0"/>
          <w:numId w:val="0"/>
        </w:numPr>
      </w:pPr>
      <w:r>
        <w:rPr>
          <w:rFonts w:hint="eastAsia"/>
        </w:rPr>
        <w:t>3.</w:t>
      </w:r>
      <w:r>
        <w:t>1</w:t>
      </w:r>
      <w:r>
        <w:rPr>
          <w:rFonts w:hint="eastAsia"/>
        </w:rPr>
        <w:t>.</w:t>
      </w:r>
      <w:r>
        <w:t>1</w:t>
      </w:r>
      <w:r>
        <w:rPr>
          <w:rFonts w:hint="eastAsia"/>
        </w:rPr>
        <w:t>数据中心软硬件运维服务清单</w:t>
      </w:r>
      <w:bookmarkEnd w:id="16"/>
      <w:bookmarkEnd w:id="17"/>
    </w:p>
    <w:p>
      <w:pPr>
        <w:spacing w:line="360" w:lineRule="auto"/>
        <w:ind w:firstLine="480" w:firstLineChars="200"/>
        <w:rPr>
          <w:rFonts w:ascii="宋体" w:hAnsi="宋体"/>
          <w:sz w:val="24"/>
        </w:rPr>
      </w:pPr>
      <w:r>
        <w:rPr>
          <w:rFonts w:hint="eastAsia" w:ascii="宋体" w:hAnsi="宋体"/>
          <w:sz w:val="24"/>
        </w:rPr>
        <w:t>本项目的硬件设备维护范围包括福建中医药大学数据中心所有实体服务器设备、存储设备、网络设备。</w:t>
      </w:r>
    </w:p>
    <w:p>
      <w:pPr>
        <w:pStyle w:val="4"/>
        <w:numPr>
          <w:ilvl w:val="0"/>
          <w:numId w:val="0"/>
        </w:numPr>
      </w:pPr>
      <w:bookmarkStart w:id="20" w:name="_Toc99380892"/>
      <w:r>
        <w:rPr>
          <w:rFonts w:hint="eastAsia"/>
        </w:rPr>
        <w:t>3.</w:t>
      </w:r>
      <w:r>
        <w:t>1</w:t>
      </w:r>
      <w:r>
        <w:rPr>
          <w:rFonts w:hint="eastAsia"/>
        </w:rPr>
        <w:t>.</w:t>
      </w:r>
      <w:r>
        <w:t>2</w:t>
      </w:r>
      <w:r>
        <w:rPr>
          <w:rFonts w:hint="eastAsia"/>
        </w:rPr>
        <w:t>数据中心整体软硬件运维服务</w:t>
      </w:r>
      <w:bookmarkEnd w:id="20"/>
      <w:r>
        <w:rPr>
          <w:rFonts w:hint="eastAsia"/>
        </w:rPr>
        <w:t>内容</w:t>
      </w:r>
    </w:p>
    <w:p>
      <w:pPr>
        <w:pStyle w:val="85"/>
        <w:rPr>
          <w:rFonts w:ascii="宋体" w:hAnsi="宋体"/>
        </w:rPr>
      </w:pPr>
      <w:r>
        <w:rPr>
          <w:rFonts w:hint="eastAsia" w:ascii="宋体" w:hAnsi="宋体"/>
        </w:rPr>
        <w:t>数据中心整体运维服务内容包括：提供工程师现场技术服务、日常主动服务(巡检、问题处理汇总、应用系统运行情况、数据库运行情况分析等)以及技术文档、邮件发送等。具体需求如下：</w:t>
      </w:r>
    </w:p>
    <w:p>
      <w:pPr>
        <w:pStyle w:val="85"/>
        <w:rPr>
          <w:rFonts w:ascii="宋体" w:hAnsi="宋体"/>
        </w:rPr>
      </w:pPr>
      <w:r>
        <w:rPr>
          <w:rFonts w:hint="eastAsia" w:ascii="宋体" w:hAnsi="宋体"/>
        </w:rPr>
        <w:t>1、工程师现场服务</w:t>
      </w:r>
    </w:p>
    <w:p>
      <w:pPr>
        <w:pStyle w:val="85"/>
        <w:rPr>
          <w:rFonts w:ascii="宋体" w:hAnsi="宋体"/>
        </w:rPr>
      </w:pPr>
      <w:r>
        <w:rPr>
          <w:rFonts w:hint="eastAsia" w:ascii="宋体" w:hAnsi="宋体"/>
        </w:rPr>
        <w:t>（1）对已有或者是将来发生的数据中心故障问题进行全部解决，为福建中医药大学提供7*24服务；</w:t>
      </w:r>
    </w:p>
    <w:p>
      <w:pPr>
        <w:pStyle w:val="85"/>
        <w:rPr>
          <w:rFonts w:ascii="宋体" w:hAnsi="宋体"/>
        </w:rPr>
      </w:pPr>
      <w:r>
        <w:rPr>
          <w:rFonts w:hint="eastAsia" w:ascii="宋体" w:hAnsi="宋体"/>
        </w:rPr>
        <w:t>（2）硬件固件分析与升级服务，每个月一次；</w:t>
      </w:r>
    </w:p>
    <w:p>
      <w:pPr>
        <w:pStyle w:val="85"/>
        <w:rPr>
          <w:rFonts w:ascii="宋体" w:hAnsi="宋体"/>
        </w:rPr>
      </w:pPr>
      <w:r>
        <w:rPr>
          <w:rFonts w:hint="eastAsia" w:ascii="宋体" w:hAnsi="宋体"/>
        </w:rPr>
        <w:t>（3）增补软件(补丁)分析服务，每个月一次；</w:t>
      </w:r>
    </w:p>
    <w:p>
      <w:pPr>
        <w:pStyle w:val="85"/>
        <w:rPr>
          <w:rFonts w:ascii="宋体" w:hAnsi="宋体"/>
        </w:rPr>
      </w:pPr>
      <w:r>
        <w:rPr>
          <w:rFonts w:hint="eastAsia" w:ascii="宋体" w:hAnsi="宋体"/>
        </w:rPr>
        <w:t>（4）磁盘阵列性能分析服务，每个月一次；</w:t>
      </w:r>
    </w:p>
    <w:p>
      <w:pPr>
        <w:pStyle w:val="85"/>
        <w:rPr>
          <w:rFonts w:ascii="宋体" w:hAnsi="宋体"/>
        </w:rPr>
      </w:pPr>
      <w:r>
        <w:rPr>
          <w:rFonts w:hint="eastAsia" w:ascii="宋体" w:hAnsi="宋体"/>
        </w:rPr>
        <w:t>（5）主机性能分析服务，每个月一次；</w:t>
      </w:r>
    </w:p>
    <w:p>
      <w:pPr>
        <w:pStyle w:val="85"/>
        <w:rPr>
          <w:rFonts w:ascii="宋体" w:hAnsi="宋体"/>
        </w:rPr>
      </w:pPr>
      <w:r>
        <w:rPr>
          <w:rFonts w:hint="eastAsia" w:ascii="宋体" w:hAnsi="宋体"/>
        </w:rPr>
        <w:t>（6）数据中心环境检测服务，每个月一次；</w:t>
      </w:r>
    </w:p>
    <w:p>
      <w:pPr>
        <w:pStyle w:val="85"/>
        <w:rPr>
          <w:rFonts w:ascii="宋体" w:hAnsi="宋体"/>
        </w:rPr>
      </w:pPr>
      <w:r>
        <w:rPr>
          <w:rFonts w:hint="eastAsia" w:ascii="宋体" w:hAnsi="宋体"/>
        </w:rPr>
        <w:t>（7）在业务系统上线迁移时提供现场工程师技术支持服务；</w:t>
      </w:r>
    </w:p>
    <w:p>
      <w:pPr>
        <w:pStyle w:val="85"/>
        <w:rPr>
          <w:rFonts w:ascii="宋体" w:hAnsi="宋体"/>
        </w:rPr>
      </w:pPr>
      <w:r>
        <w:rPr>
          <w:rFonts w:hint="eastAsia" w:ascii="宋体" w:hAnsi="宋体"/>
        </w:rPr>
        <w:t>（8）将向福建中医药大学一个月提供一次服务报告。</w:t>
      </w:r>
    </w:p>
    <w:p>
      <w:pPr>
        <w:pStyle w:val="85"/>
        <w:rPr>
          <w:rFonts w:ascii="宋体" w:hAnsi="宋体"/>
        </w:rPr>
      </w:pPr>
      <w:r>
        <w:rPr>
          <w:rFonts w:hint="eastAsia" w:ascii="宋体" w:hAnsi="宋体"/>
        </w:rPr>
        <w:t>2、日常主动服务</w:t>
      </w:r>
    </w:p>
    <w:p>
      <w:pPr>
        <w:pStyle w:val="85"/>
        <w:rPr>
          <w:rFonts w:ascii="宋体" w:hAnsi="宋体"/>
        </w:rPr>
      </w:pPr>
      <w:r>
        <w:rPr>
          <w:rFonts w:hint="eastAsia" w:ascii="宋体" w:hAnsi="宋体"/>
        </w:rPr>
        <w:t>周期地派出工程师将对维护设备进行全面测试，确保设备正常运行，检查设备运行情况，排除隐患故障并进行设备保养工作，同时记录响应的设备运行日志。具体维护计划应包括：</w:t>
      </w:r>
    </w:p>
    <w:p>
      <w:pPr>
        <w:pStyle w:val="85"/>
        <w:rPr>
          <w:rFonts w:ascii="宋体" w:hAnsi="宋体"/>
        </w:rPr>
      </w:pPr>
      <w:r>
        <w:rPr>
          <w:rFonts w:hint="eastAsia" w:ascii="宋体" w:hAnsi="宋体"/>
        </w:rPr>
        <w:t>每个月一次对系统设备进行例行检查和维护，保证设备处于正常的工作状态，并指派资深工程师对采购人现行数据中心各系统作全面的安全检查并出具安全风险评估报告，对存在的应用安全、数据安全问题作出全面的分析，并提出相关的建议和解决方案。巡检主要包括但不局限于下表要求：</w:t>
      </w:r>
    </w:p>
    <w:tbl>
      <w:tblPr>
        <w:tblStyle w:val="29"/>
        <w:tblW w:w="9364"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1268"/>
        <w:gridCol w:w="1929"/>
        <w:gridCol w:w="5222"/>
        <w:gridCol w:w="94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23"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tcPr>
          <w:p>
            <w:pPr>
              <w:pStyle w:val="85"/>
              <w:ind w:firstLine="0" w:firstLineChars="0"/>
              <w:rPr>
                <w:rFonts w:ascii="宋体" w:hAnsi="宋体"/>
                <w:sz w:val="22"/>
              </w:rPr>
            </w:pPr>
            <w:r>
              <w:rPr>
                <w:rFonts w:hint="eastAsia" w:ascii="宋体" w:hAnsi="宋体"/>
                <w:sz w:val="22"/>
              </w:rPr>
              <w:t>类别</w:t>
            </w:r>
          </w:p>
        </w:tc>
        <w:tc>
          <w:tcPr>
            <w:tcW w:w="1899"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tcPr>
          <w:p>
            <w:pPr>
              <w:pStyle w:val="85"/>
              <w:ind w:firstLine="0" w:firstLineChars="0"/>
              <w:rPr>
                <w:rFonts w:ascii="宋体" w:hAnsi="宋体"/>
                <w:sz w:val="22"/>
              </w:rPr>
            </w:pPr>
            <w:r>
              <w:rPr>
                <w:rFonts w:hint="eastAsia" w:ascii="宋体" w:hAnsi="宋体"/>
                <w:sz w:val="22"/>
              </w:rPr>
              <w:t>检查项目</w:t>
            </w:r>
          </w:p>
        </w:tc>
        <w:tc>
          <w:tcPr>
            <w:tcW w:w="5192"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tcPr>
          <w:p>
            <w:pPr>
              <w:pStyle w:val="85"/>
              <w:ind w:firstLine="0" w:firstLineChars="0"/>
              <w:rPr>
                <w:rFonts w:ascii="宋体" w:hAnsi="宋体"/>
                <w:sz w:val="22"/>
              </w:rPr>
            </w:pPr>
            <w:r>
              <w:rPr>
                <w:rFonts w:hint="eastAsia" w:ascii="宋体" w:hAnsi="宋体"/>
                <w:sz w:val="22"/>
              </w:rPr>
              <w:t>目标</w:t>
            </w:r>
          </w:p>
        </w:tc>
        <w:tc>
          <w:tcPr>
            <w:tcW w:w="90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tcPr>
          <w:p>
            <w:pPr>
              <w:pStyle w:val="85"/>
              <w:ind w:firstLine="0" w:firstLineChars="0"/>
              <w:rPr>
                <w:rFonts w:ascii="宋体" w:hAnsi="宋体"/>
                <w:sz w:val="22"/>
              </w:rPr>
            </w:pPr>
            <w:r>
              <w:rPr>
                <w:rFonts w:hint="eastAsia" w:ascii="宋体" w:hAnsi="宋体"/>
                <w:sz w:val="22"/>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23"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存储设备</w:t>
            </w: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设备运行状态</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定查检查存储设备的磁盘损坏、电池过期、任何一个硬盘的黄灯亮起等信息。</w:t>
            </w:r>
          </w:p>
        </w:tc>
        <w:tc>
          <w:tcPr>
            <w:tcW w:w="90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23"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服务器及虚拟化平台</w:t>
            </w: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联通性</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定查检查服务器联通情况，不能联通表示主机宕机或网络中断等故障。</w:t>
            </w:r>
          </w:p>
        </w:tc>
        <w:tc>
          <w:tcPr>
            <w:tcW w:w="900"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磁盘空间使用率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定查检查磁盘空间避免磁盘满导致数据库系统宕机故障出现。</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内存使用率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定查检查内存使用率。</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CPU使用率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定查检查CPU使用率。</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交换空间使用率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定查检查交换空间使用率。</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系统日志信息</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定查检查系统日志信息，提醒系统管理员检查操作系统。</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操作系统进程数</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定查检查操作系统进程数。</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23"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Oracle数据库</w:t>
            </w: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数据库运行状态</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定查检查数据库运行状态。</w:t>
            </w:r>
          </w:p>
        </w:tc>
        <w:tc>
          <w:tcPr>
            <w:tcW w:w="900"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监听器运行状态</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定查检查监听器运行状态。</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表空间使用率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定查检查数据库的所有的表空间使用率，防止空间不足类错误发生。</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警告日志信息</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定查检查数据库系统出现错误信息。</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数据库活动进程数</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定查检查进程数，防止前台应用因为数据库连接数不够的问题而不能登陆数据库的问题出现。</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归档日志切换率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定查检查每天归档日志的切换个数。。</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软分析率</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定查检查软分析率，过低表示数据库中的应用不合理，需要调整。</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single" w:color="auto" w:sz="6" w:space="0"/>
              <w:bottom w:val="single" w:color="auto" w:sz="6" w:space="0"/>
              <w:right w:val="single" w:color="auto" w:sz="6" w:space="0"/>
            </w:tcBorders>
            <w:vAlign w:val="center"/>
          </w:tcPr>
          <w:p>
            <w:pPr>
              <w:pStyle w:val="85"/>
              <w:ind w:firstLine="440"/>
              <w:rPr>
                <w:rFonts w:ascii="宋体" w:hAnsi="宋体"/>
                <w:sz w:val="22"/>
              </w:rPr>
            </w:pPr>
          </w:p>
        </w:tc>
        <w:tc>
          <w:tcPr>
            <w:tcW w:w="189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0" w:firstLineChars="0"/>
              <w:rPr>
                <w:rFonts w:ascii="宋体" w:hAnsi="宋体"/>
                <w:sz w:val="22"/>
              </w:rPr>
            </w:pPr>
            <w:r>
              <w:rPr>
                <w:rFonts w:hint="eastAsia" w:ascii="宋体" w:hAnsi="宋体"/>
                <w:sz w:val="22"/>
              </w:rPr>
              <w:t>数据库大小</w:t>
            </w:r>
          </w:p>
        </w:tc>
        <w:tc>
          <w:tcPr>
            <w:tcW w:w="519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85"/>
              <w:ind w:firstLine="440"/>
              <w:rPr>
                <w:rFonts w:ascii="宋体" w:hAnsi="宋体"/>
                <w:sz w:val="22"/>
              </w:rPr>
            </w:pPr>
            <w:r>
              <w:rPr>
                <w:rFonts w:hint="eastAsia" w:ascii="宋体" w:hAnsi="宋体"/>
                <w:sz w:val="22"/>
              </w:rPr>
              <w:t>定查检查数据库大小。</w:t>
            </w:r>
          </w:p>
        </w:tc>
        <w:tc>
          <w:tcPr>
            <w:tcW w:w="900" w:type="dxa"/>
            <w:vMerge w:val="continue"/>
            <w:tcBorders>
              <w:top w:val="nil"/>
              <w:left w:val="nil"/>
              <w:bottom w:val="single" w:color="auto" w:sz="6" w:space="0"/>
              <w:right w:val="single" w:color="auto" w:sz="6" w:space="0"/>
            </w:tcBorders>
            <w:vAlign w:val="center"/>
          </w:tcPr>
          <w:p>
            <w:pPr>
              <w:pStyle w:val="85"/>
              <w:ind w:firstLine="440"/>
              <w:rPr>
                <w:rFonts w:ascii="宋体" w:hAnsi="宋体"/>
                <w:sz w:val="22"/>
              </w:rPr>
            </w:pPr>
          </w:p>
        </w:tc>
      </w:tr>
    </w:tbl>
    <w:p>
      <w:pPr>
        <w:pStyle w:val="85"/>
        <w:rPr>
          <w:rFonts w:ascii="宋体" w:hAnsi="宋体"/>
        </w:rPr>
      </w:pPr>
      <w:r>
        <w:rPr>
          <w:rFonts w:hint="eastAsia" w:ascii="宋体" w:hAnsi="宋体"/>
        </w:rPr>
        <w:t>3、支持团队</w:t>
      </w:r>
    </w:p>
    <w:p>
      <w:pPr>
        <w:pStyle w:val="85"/>
        <w:rPr>
          <w:rFonts w:ascii="宋体" w:hAnsi="宋体"/>
        </w:rPr>
      </w:pPr>
      <w:r>
        <w:rPr>
          <w:rFonts w:hint="eastAsia" w:ascii="宋体" w:hAnsi="宋体"/>
        </w:rPr>
        <w:t>针对本项目设置支持团队，团队根据网络特点制定服务计划，并监管日常维护及突发事件处理，同时负责与</w:t>
      </w:r>
      <w:r>
        <w:rPr>
          <w:rFonts w:hint="eastAsia" w:ascii="宋体" w:hAnsi="宋体"/>
          <w:lang w:val="en-US" w:eastAsia="zh-CN"/>
        </w:rPr>
        <w:t>采购</w:t>
      </w:r>
      <w:r>
        <w:rPr>
          <w:rFonts w:hint="eastAsia" w:ascii="宋体" w:hAnsi="宋体"/>
        </w:rPr>
        <w:t>人协调相关维护事宜。</w:t>
      </w:r>
    </w:p>
    <w:p>
      <w:pPr>
        <w:pStyle w:val="85"/>
        <w:rPr>
          <w:rFonts w:ascii="宋体" w:hAnsi="宋体"/>
        </w:rPr>
      </w:pPr>
      <w:r>
        <w:rPr>
          <w:rFonts w:hint="eastAsia" w:ascii="宋体" w:hAnsi="宋体"/>
        </w:rPr>
        <w:t>4、全天候的远程技术支持</w:t>
      </w:r>
    </w:p>
    <w:p>
      <w:pPr>
        <w:pStyle w:val="85"/>
        <w:rPr>
          <w:rFonts w:ascii="宋体" w:hAnsi="宋体"/>
        </w:rPr>
      </w:pPr>
      <w:r>
        <w:rPr>
          <w:rFonts w:hint="eastAsia" w:ascii="宋体" w:hAnsi="宋体"/>
        </w:rPr>
        <w:t>提供7×24的远程技术服务热线，由专门受理客户问题的维护团队提供全天候无间断的产品技术咨询、故障申报受理、硬件维修受理、以及服务政策咨询等服务内容。对简单的技术咨询性问题在24小时内给出明确答复，复杂的产品技术问题(非产品质量问题)在72小时内给出明确答复。</w:t>
      </w:r>
    </w:p>
    <w:p>
      <w:pPr>
        <w:pStyle w:val="85"/>
        <w:rPr>
          <w:rFonts w:ascii="宋体" w:hAnsi="宋体"/>
        </w:rPr>
      </w:pPr>
      <w:r>
        <w:rPr>
          <w:rFonts w:hint="eastAsia" w:ascii="宋体" w:hAnsi="宋体"/>
        </w:rPr>
        <w:t>5、现场维护服务</w:t>
      </w:r>
    </w:p>
    <w:p>
      <w:pPr>
        <w:pStyle w:val="85"/>
        <w:rPr>
          <w:rFonts w:ascii="宋体" w:hAnsi="宋体"/>
        </w:rPr>
      </w:pPr>
      <w:r>
        <w:rPr>
          <w:rFonts w:hint="eastAsia" w:ascii="宋体" w:hAnsi="宋体"/>
        </w:rPr>
        <w:t>由于校园数据中心组网相对复杂，引发应用、系统、网络故障的因素也较多。由于设备故障或其他原因不能正常运行时，需要及时排查并能迅速解决。</w:t>
      </w:r>
    </w:p>
    <w:p>
      <w:pPr>
        <w:pStyle w:val="85"/>
        <w:rPr>
          <w:rFonts w:ascii="宋体" w:hAnsi="宋体"/>
        </w:rPr>
      </w:pPr>
      <w:r>
        <w:rPr>
          <w:rFonts w:hint="eastAsia" w:ascii="宋体" w:hAnsi="宋体"/>
        </w:rPr>
        <w:t>工程技术人员现场服务响应时间要求7×24小时(上式中的7是指星期一至星期日，24是指当日0:00至次日的0:00)</w:t>
      </w:r>
    </w:p>
    <w:p>
      <w:pPr>
        <w:pStyle w:val="85"/>
        <w:rPr>
          <w:rFonts w:ascii="宋体" w:hAnsi="宋体"/>
        </w:rPr>
      </w:pPr>
      <w:r>
        <w:rPr>
          <w:rFonts w:hint="eastAsia" w:ascii="宋体" w:hAnsi="宋体"/>
        </w:rPr>
        <w:t>6、重要时刻专人值守</w:t>
      </w:r>
    </w:p>
    <w:p>
      <w:pPr>
        <w:pStyle w:val="85"/>
        <w:rPr>
          <w:rFonts w:ascii="宋体" w:hAnsi="宋体"/>
        </w:rPr>
      </w:pPr>
      <w:r>
        <w:rPr>
          <w:rFonts w:hint="eastAsia" w:ascii="宋体" w:hAnsi="宋体"/>
        </w:rPr>
        <w:t>承诺在重要时刻(例如重大会议、平台升级等)安排技术专家到现场对系统、应用、数据库及网络进行技术保障的服务，以保证云平台各应用系统正常运行，并能够在最短时间内定位并排除故障。</w:t>
      </w:r>
    </w:p>
    <w:p>
      <w:pPr>
        <w:pStyle w:val="85"/>
        <w:rPr>
          <w:rFonts w:ascii="宋体" w:hAnsi="宋体"/>
        </w:rPr>
      </w:pPr>
      <w:r>
        <w:rPr>
          <w:rFonts w:hint="eastAsia" w:ascii="宋体" w:hAnsi="宋体"/>
        </w:rPr>
        <w:t>7、日常现场保障</w:t>
      </w:r>
    </w:p>
    <w:p>
      <w:pPr>
        <w:pStyle w:val="85"/>
        <w:rPr>
          <w:rFonts w:ascii="宋体" w:hAnsi="宋体"/>
        </w:rPr>
      </w:pPr>
      <w:r>
        <w:rPr>
          <w:rFonts w:hint="eastAsia" w:ascii="宋体" w:hAnsi="宋体"/>
        </w:rPr>
        <w:t>承诺在服务期限内定时安排技术专家到现场对系统、应用、数据库及网络进行技术保障或故障采集服务，以保证虚拟化各应用系统正常运行。</w:t>
      </w:r>
    </w:p>
    <w:p>
      <w:pPr>
        <w:pStyle w:val="85"/>
        <w:rPr>
          <w:rFonts w:ascii="宋体" w:hAnsi="宋体"/>
        </w:rPr>
      </w:pPr>
      <w:r>
        <w:rPr>
          <w:rFonts w:hint="eastAsia" w:ascii="宋体" w:hAnsi="宋体"/>
        </w:rPr>
        <w:t>8、维护性软件及主版本升级软件支持服务</w:t>
      </w:r>
    </w:p>
    <w:p>
      <w:pPr>
        <w:pStyle w:val="85"/>
        <w:rPr>
          <w:rFonts w:ascii="宋体" w:hAnsi="宋体"/>
        </w:rPr>
      </w:pPr>
      <w:r>
        <w:rPr>
          <w:rFonts w:hint="eastAsia" w:ascii="宋体" w:hAnsi="宋体"/>
        </w:rPr>
        <w:t>在服务有效期内，向福建中医药大学数据中心提供维护范围之内所有设备的主机软件的维护性版本及升级版本，如BUG修补文件，新版本的主机软件，以及该软件配套的文档资料。</w:t>
      </w:r>
    </w:p>
    <w:p>
      <w:pPr>
        <w:pStyle w:val="85"/>
        <w:rPr>
          <w:rFonts w:ascii="宋体" w:hAnsi="宋体"/>
        </w:rPr>
      </w:pPr>
      <w:r>
        <w:rPr>
          <w:rFonts w:hint="eastAsia" w:ascii="宋体" w:hAnsi="宋体"/>
        </w:rPr>
        <w:t>9、服务质量反馈与交流</w:t>
      </w:r>
    </w:p>
    <w:p>
      <w:pPr>
        <w:pStyle w:val="85"/>
        <w:rPr>
          <w:rFonts w:ascii="宋体" w:hAnsi="宋体"/>
        </w:rPr>
      </w:pPr>
      <w:r>
        <w:rPr>
          <w:rFonts w:hint="eastAsia" w:ascii="宋体" w:hAnsi="宋体"/>
        </w:rPr>
        <w:t>1)服务情况报告</w:t>
      </w:r>
    </w:p>
    <w:p>
      <w:pPr>
        <w:pStyle w:val="85"/>
        <w:rPr>
          <w:rFonts w:ascii="宋体" w:hAnsi="宋体"/>
        </w:rPr>
      </w:pPr>
      <w:r>
        <w:rPr>
          <w:rFonts w:hint="eastAsia" w:ascii="宋体" w:hAnsi="宋体"/>
        </w:rPr>
        <w:t>每季度向招标单位提交服务情况总结报告，对维护服务情况进行总结，提出优化改进建议，工作安排等。</w:t>
      </w:r>
    </w:p>
    <w:p>
      <w:pPr>
        <w:pStyle w:val="85"/>
        <w:rPr>
          <w:rFonts w:ascii="宋体" w:hAnsi="宋体"/>
        </w:rPr>
      </w:pPr>
      <w:r>
        <w:rPr>
          <w:rFonts w:hint="eastAsia" w:ascii="宋体" w:hAnsi="宋体"/>
        </w:rPr>
        <w:t>2)故障分析报告</w:t>
      </w:r>
    </w:p>
    <w:p>
      <w:pPr>
        <w:pStyle w:val="85"/>
        <w:rPr>
          <w:rFonts w:ascii="宋体" w:hAnsi="宋体"/>
        </w:rPr>
      </w:pPr>
      <w:r>
        <w:rPr>
          <w:rFonts w:hint="eastAsia" w:ascii="宋体" w:hAnsi="宋体"/>
        </w:rPr>
        <w:t>在提供故障现场处理服务后，提交《现场技术服务报告》，经相关工作人员签字确认，如有未解决故障，提交最终解决时间和技术方案，同时报告解决的进展情况。</w:t>
      </w:r>
    </w:p>
    <w:p>
      <w:pPr>
        <w:pStyle w:val="85"/>
        <w:rPr>
          <w:rFonts w:ascii="宋体" w:hAnsi="宋体"/>
        </w:rPr>
      </w:pPr>
      <w:r>
        <w:rPr>
          <w:rFonts w:hint="eastAsia" w:ascii="宋体" w:hAnsi="宋体"/>
        </w:rPr>
        <w:t>3)建立设备维护技术档案</w:t>
      </w:r>
    </w:p>
    <w:p>
      <w:pPr>
        <w:pStyle w:val="85"/>
        <w:rPr>
          <w:rFonts w:ascii="宋体" w:hAnsi="宋体"/>
        </w:rPr>
      </w:pPr>
      <w:r>
        <w:rPr>
          <w:rFonts w:hint="eastAsia" w:ascii="宋体" w:hAnsi="宋体"/>
        </w:rPr>
        <w:t>根据每次故障维修报告和预防性维护报告建立技术文案资料库，详细记录设备的型号、序列号、故障时间、故障类型、维护方法、维护质量、预防措施及维护时间和维护人员等信息。</w:t>
      </w:r>
    </w:p>
    <w:p>
      <w:pPr>
        <w:pStyle w:val="85"/>
        <w:rPr>
          <w:rFonts w:ascii="宋体" w:hAnsi="宋体"/>
        </w:rPr>
      </w:pPr>
      <w:r>
        <w:rPr>
          <w:rFonts w:hint="eastAsia" w:ascii="宋体" w:hAnsi="宋体"/>
        </w:rPr>
        <w:t>4)预维护报告</w:t>
      </w:r>
    </w:p>
    <w:p>
      <w:pPr>
        <w:pStyle w:val="85"/>
        <w:rPr>
          <w:rFonts w:ascii="宋体" w:hAnsi="宋体"/>
        </w:rPr>
      </w:pPr>
      <w:r>
        <w:rPr>
          <w:rFonts w:hint="eastAsia" w:ascii="宋体" w:hAnsi="宋体"/>
        </w:rPr>
        <w:t>完成维护后，提交例行维护报告，以备相关工作人员了解设备运行和维护情况。</w:t>
      </w:r>
    </w:p>
    <w:p>
      <w:pPr>
        <w:pStyle w:val="85"/>
        <w:rPr>
          <w:rFonts w:ascii="宋体" w:hAnsi="宋体"/>
        </w:rPr>
      </w:pPr>
      <w:r>
        <w:rPr>
          <w:rFonts w:hint="eastAsia" w:ascii="宋体" w:hAnsi="宋体"/>
        </w:rPr>
        <w:t>5)合同期结束总结</w:t>
      </w:r>
    </w:p>
    <w:p>
      <w:pPr>
        <w:pStyle w:val="85"/>
        <w:rPr>
          <w:rFonts w:ascii="宋体" w:hAnsi="宋体"/>
        </w:rPr>
      </w:pPr>
      <w:r>
        <w:rPr>
          <w:rFonts w:hint="eastAsia" w:ascii="宋体" w:hAnsi="宋体"/>
        </w:rPr>
        <w:t>在年度维护合同期届满后，将合同期内的维护报告、相关日志等资料提交给招标单位相关工作人员，以备将来设备运行和维护。</w:t>
      </w:r>
    </w:p>
    <w:p>
      <w:pPr>
        <w:pStyle w:val="85"/>
        <w:rPr>
          <w:rFonts w:ascii="宋体" w:hAnsi="宋体"/>
        </w:rPr>
      </w:pPr>
      <w:r>
        <w:rPr>
          <w:rFonts w:hint="eastAsia" w:ascii="宋体" w:hAnsi="宋体"/>
        </w:rPr>
        <w:t>10、维护团队</w:t>
      </w:r>
    </w:p>
    <w:p>
      <w:pPr>
        <w:pStyle w:val="85"/>
        <w:rPr>
          <w:rFonts w:ascii="宋体" w:hAnsi="宋体"/>
        </w:rPr>
      </w:pPr>
      <w:r>
        <w:rPr>
          <w:rFonts w:hint="eastAsia" w:ascii="宋体" w:hAnsi="宋体"/>
        </w:rPr>
        <w:t>组成一支得到招标单位信息中心认可的维护工程师团队。维护团队通过支持团队与招标方协调维护服务的相关事宜。上述团队若有人员变动，应提前一个月以书面形式通知福建中医药大学信息中心相关工作人员。</w:t>
      </w:r>
    </w:p>
    <w:p>
      <w:pPr>
        <w:pStyle w:val="4"/>
        <w:numPr>
          <w:ilvl w:val="0"/>
          <w:numId w:val="0"/>
        </w:numPr>
      </w:pPr>
      <w:bookmarkStart w:id="21" w:name="_Toc99380893"/>
      <w:r>
        <w:rPr>
          <w:rFonts w:hint="eastAsia"/>
        </w:rPr>
        <w:t>3.</w:t>
      </w:r>
      <w:r>
        <w:t>1</w:t>
      </w:r>
      <w:r>
        <w:rPr>
          <w:rFonts w:hint="eastAsia"/>
        </w:rPr>
        <w:t>.</w:t>
      </w:r>
      <w:r>
        <w:t>3</w:t>
      </w:r>
      <w:r>
        <w:rPr>
          <w:rFonts w:hint="eastAsia"/>
        </w:rPr>
        <w:t>故障分析与应急响应服务</w:t>
      </w:r>
      <w:bookmarkEnd w:id="21"/>
    </w:p>
    <w:tbl>
      <w:tblPr>
        <w:tblStyle w:val="29"/>
        <w:tblW w:w="9506"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434"/>
        <w:gridCol w:w="5103"/>
        <w:gridCol w:w="39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446" w:type="dxa"/>
            <w:gridSpan w:val="3"/>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b/>
                <w:bCs/>
                <w:kern w:val="0"/>
                <w:sz w:val="24"/>
              </w:rPr>
              <w:t>故障分析与应急响应服务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1</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当应用系统或数据库系统出现故障时，无论是主机、存储、操作系统、数据库系统，当系统发生故障而不能确定故障原因时，提供故障分析和定位服务，在最短的时间内协助解决系统问题</w:t>
            </w:r>
          </w:p>
        </w:tc>
        <w:tc>
          <w:tcPr>
            <w:tcW w:w="3924"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致命故障（系统瘫痪）：7*24小时服务，1小时内响应及到达机房现场，2小时内故障判断并进行恢复；</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严重故障（系统部分瘫痪或性能明显受损）：7*24小时服务，2小时内响应及到达机房现场，4小时内故障判断并进行恢复；</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一般故障（非上述致命或严重故障）：正常工作时间5*9小时服务，4小时内响应及到达机房现场，24小时内故障判断并进行恢复。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2</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当业务系统运行过程中出现严重性能问题时，协助寻找性能瓶颈，提供优化建议</w:t>
            </w:r>
          </w:p>
        </w:tc>
        <w:tc>
          <w:tcPr>
            <w:tcW w:w="39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3</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当主生产数据库出现影响其运行的故障时，在有容灾系统的情况下，提供主备系统间的切换服务，以最快的时间恢复系统的正常运行</w:t>
            </w:r>
          </w:p>
        </w:tc>
        <w:tc>
          <w:tcPr>
            <w:tcW w:w="39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4</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在系统发生故障时，视故障需求恢复系统和数据库，在严重故障时，重新安装部署整个系统</w:t>
            </w:r>
          </w:p>
        </w:tc>
        <w:tc>
          <w:tcPr>
            <w:tcW w:w="39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bl>
    <w:p>
      <w:pPr>
        <w:rPr>
          <w:rFonts w:ascii="宋体" w:hAnsi="宋体"/>
        </w:rPr>
      </w:pPr>
    </w:p>
    <w:p>
      <w:pPr>
        <w:pStyle w:val="4"/>
        <w:numPr>
          <w:ilvl w:val="0"/>
          <w:numId w:val="0"/>
        </w:numPr>
      </w:pPr>
      <w:bookmarkStart w:id="22" w:name="_Toc506246589"/>
      <w:bookmarkStart w:id="23" w:name="_Toc512256104"/>
      <w:bookmarkStart w:id="24" w:name="_Toc99380894"/>
      <w:r>
        <w:rPr>
          <w:rFonts w:hint="eastAsia"/>
        </w:rPr>
        <w:t>3.</w:t>
      </w:r>
      <w:r>
        <w:t>1</w:t>
      </w:r>
      <w:r>
        <w:rPr>
          <w:rFonts w:hint="eastAsia"/>
        </w:rPr>
        <w:t>.</w:t>
      </w:r>
      <w:r>
        <w:t>4</w:t>
      </w:r>
      <w:r>
        <w:rPr>
          <w:rFonts w:hint="eastAsia"/>
        </w:rPr>
        <w:t>预防性维护</w:t>
      </w:r>
      <w:bookmarkEnd w:id="22"/>
      <w:bookmarkEnd w:id="23"/>
      <w:r>
        <w:rPr>
          <w:rFonts w:hint="eastAsia"/>
        </w:rPr>
        <w:t>服务</w:t>
      </w:r>
      <w:bookmarkEnd w:id="24"/>
    </w:p>
    <w:p>
      <w:pPr>
        <w:pStyle w:val="85"/>
        <w:spacing w:before="0" w:after="0"/>
        <w:rPr>
          <w:rFonts w:ascii="宋体" w:hAnsi="宋体"/>
        </w:rPr>
      </w:pPr>
      <w:r>
        <w:rPr>
          <w:rFonts w:hint="eastAsia" w:ascii="宋体" w:hAnsi="宋体"/>
        </w:rPr>
        <w:t>针对本期项目提供面向整体运维服务系统的预防性维护着眼于软硬件结合，相关日常管理工作主要内容包括：</w:t>
      </w:r>
    </w:p>
    <w:p>
      <w:pPr>
        <w:pStyle w:val="85"/>
        <w:numPr>
          <w:ilvl w:val="0"/>
          <w:numId w:val="5"/>
        </w:numPr>
        <w:spacing w:before="0" w:after="0"/>
        <w:ind w:firstLineChars="0"/>
        <w:rPr>
          <w:rFonts w:ascii="宋体" w:hAnsi="宋体"/>
        </w:rPr>
      </w:pPr>
      <w:r>
        <w:rPr>
          <w:rFonts w:hint="eastAsia" w:ascii="宋体" w:hAnsi="宋体"/>
        </w:rPr>
        <w:t>月度巡检将加强检查主要设备的系统版本/微码级别，并根据实际情况，为设备做必要的升级。</w:t>
      </w:r>
    </w:p>
    <w:p>
      <w:pPr>
        <w:pStyle w:val="85"/>
        <w:numPr>
          <w:ilvl w:val="0"/>
          <w:numId w:val="5"/>
        </w:numPr>
        <w:spacing w:before="0" w:after="0"/>
        <w:ind w:firstLineChars="0"/>
        <w:rPr>
          <w:rFonts w:ascii="宋体" w:hAnsi="宋体"/>
        </w:rPr>
      </w:pPr>
      <w:r>
        <w:rPr>
          <w:rFonts w:hint="eastAsia" w:ascii="宋体" w:hAnsi="宋体"/>
        </w:rPr>
        <w:t>建立信息档案：为福建中医药大学数据中心系统建立一个完整的系统级信息档案，其中既包括所有硬件设备的清单，机器编号，安装日期，微码级别，升级记录等，也包括系统软件方面的安装的产品和补丁信息等，并且根据设备变更情况作及时更新，以保证能及时掌握福建中医药大学所有的情况。</w:t>
      </w:r>
    </w:p>
    <w:p>
      <w:pPr>
        <w:spacing w:line="360" w:lineRule="auto"/>
        <w:ind w:firstLine="480" w:firstLineChars="200"/>
        <w:rPr>
          <w:rFonts w:ascii="宋体" w:hAnsi="宋体"/>
          <w:sz w:val="24"/>
        </w:rPr>
      </w:pPr>
      <w:bookmarkStart w:id="25" w:name="_Toc156640148"/>
      <w:bookmarkStart w:id="26" w:name="_Toc165432809"/>
      <w:bookmarkStart w:id="27" w:name="_Toc506246590"/>
      <w:r>
        <w:rPr>
          <w:rFonts w:hint="eastAsia" w:ascii="宋体" w:hAnsi="宋体"/>
          <w:sz w:val="24"/>
        </w:rPr>
        <w:t>第一、面向硬件的预防性维护</w:t>
      </w:r>
      <w:bookmarkEnd w:id="25"/>
      <w:bookmarkEnd w:id="26"/>
      <w:bookmarkEnd w:id="27"/>
    </w:p>
    <w:p>
      <w:pPr>
        <w:pStyle w:val="85"/>
        <w:spacing w:before="0" w:after="0"/>
        <w:rPr>
          <w:rFonts w:ascii="宋体" w:hAnsi="宋体"/>
        </w:rPr>
      </w:pPr>
      <w:r>
        <w:rPr>
          <w:rFonts w:hint="eastAsia" w:ascii="宋体" w:hAnsi="宋体"/>
        </w:rPr>
        <w:t>面向硬件的预防性维护着眼于福建中医药大学各业务系统的硬件方面，主要内容包括：</w:t>
      </w:r>
    </w:p>
    <w:p>
      <w:pPr>
        <w:pStyle w:val="85"/>
        <w:numPr>
          <w:ilvl w:val="0"/>
          <w:numId w:val="5"/>
        </w:numPr>
        <w:spacing w:before="0" w:after="0"/>
        <w:ind w:firstLineChars="0"/>
        <w:rPr>
          <w:rFonts w:ascii="宋体" w:hAnsi="宋体"/>
        </w:rPr>
      </w:pPr>
      <w:r>
        <w:rPr>
          <w:rFonts w:hint="eastAsia" w:ascii="宋体" w:hAnsi="宋体"/>
        </w:rPr>
        <w:t>定期检查系统各部份硬件出错记录；</w:t>
      </w:r>
    </w:p>
    <w:p>
      <w:pPr>
        <w:pStyle w:val="85"/>
        <w:numPr>
          <w:ilvl w:val="0"/>
          <w:numId w:val="5"/>
        </w:numPr>
        <w:spacing w:before="0" w:after="0"/>
        <w:ind w:firstLineChars="0"/>
        <w:rPr>
          <w:rFonts w:ascii="宋体" w:hAnsi="宋体"/>
        </w:rPr>
      </w:pPr>
      <w:r>
        <w:rPr>
          <w:rFonts w:hint="eastAsia" w:ascii="宋体" w:hAnsi="宋体"/>
        </w:rPr>
        <w:t>定期检查主机/存储系统中主板、CPU、内存、内置硬盘等关键设备的运行状态；</w:t>
      </w:r>
    </w:p>
    <w:p>
      <w:pPr>
        <w:pStyle w:val="85"/>
        <w:numPr>
          <w:ilvl w:val="0"/>
          <w:numId w:val="5"/>
        </w:numPr>
        <w:spacing w:before="0" w:after="0"/>
        <w:ind w:firstLineChars="0"/>
        <w:rPr>
          <w:rFonts w:ascii="宋体" w:hAnsi="宋体"/>
        </w:rPr>
      </w:pPr>
      <w:r>
        <w:rPr>
          <w:rFonts w:hint="eastAsia" w:ascii="宋体" w:hAnsi="宋体"/>
        </w:rPr>
        <w:t>定期检查磁盘子系统、磁带机设备的运行状态；</w:t>
      </w:r>
    </w:p>
    <w:p>
      <w:pPr>
        <w:pStyle w:val="85"/>
        <w:numPr>
          <w:ilvl w:val="0"/>
          <w:numId w:val="5"/>
        </w:numPr>
        <w:spacing w:before="0" w:after="0"/>
        <w:ind w:firstLineChars="0"/>
        <w:rPr>
          <w:rFonts w:ascii="宋体" w:hAnsi="宋体"/>
        </w:rPr>
      </w:pPr>
      <w:r>
        <w:rPr>
          <w:rFonts w:hint="eastAsia" w:ascii="宋体" w:hAnsi="宋体"/>
        </w:rPr>
        <w:t>定期检查操作系统软件的运行状态和系统补丁安装情况；</w:t>
      </w:r>
    </w:p>
    <w:p>
      <w:pPr>
        <w:pStyle w:val="85"/>
        <w:numPr>
          <w:ilvl w:val="0"/>
          <w:numId w:val="5"/>
        </w:numPr>
        <w:spacing w:before="0" w:after="0"/>
        <w:ind w:firstLineChars="0"/>
        <w:rPr>
          <w:rFonts w:ascii="宋体" w:hAnsi="宋体"/>
        </w:rPr>
      </w:pPr>
      <w:r>
        <w:rPr>
          <w:rFonts w:hint="eastAsia" w:ascii="宋体" w:hAnsi="宋体"/>
        </w:rPr>
        <w:t>定期进行硬件系统整体运行性能观察并作运行情况纪录。</w:t>
      </w:r>
    </w:p>
    <w:p>
      <w:pPr>
        <w:spacing w:line="360" w:lineRule="auto"/>
        <w:ind w:firstLine="480" w:firstLineChars="200"/>
        <w:rPr>
          <w:rFonts w:ascii="宋体" w:hAnsi="宋体"/>
          <w:sz w:val="24"/>
        </w:rPr>
      </w:pPr>
      <w:bookmarkStart w:id="28" w:name="_Toc139264026"/>
      <w:bookmarkStart w:id="29" w:name="_Toc156640149"/>
      <w:bookmarkStart w:id="30" w:name="_Toc506246591"/>
      <w:bookmarkStart w:id="31" w:name="_Toc165432810"/>
      <w:r>
        <w:rPr>
          <w:rFonts w:hint="eastAsia" w:ascii="宋体" w:hAnsi="宋体"/>
          <w:sz w:val="24"/>
        </w:rPr>
        <w:t>第二、面向业务系统及数据库软件的预防性维护</w:t>
      </w:r>
      <w:bookmarkEnd w:id="28"/>
      <w:bookmarkEnd w:id="29"/>
      <w:bookmarkEnd w:id="30"/>
      <w:bookmarkEnd w:id="31"/>
    </w:p>
    <w:p>
      <w:pPr>
        <w:pStyle w:val="85"/>
        <w:spacing w:before="0" w:after="0"/>
        <w:rPr>
          <w:rFonts w:ascii="宋体" w:hAnsi="宋体"/>
        </w:rPr>
      </w:pPr>
      <w:r>
        <w:rPr>
          <w:rFonts w:hint="eastAsia" w:ascii="宋体" w:hAnsi="宋体"/>
        </w:rPr>
        <w:t>面向软件的预防性维护着眼于福建中医药大学IT系统的系统软件方面，主要内容包括：</w:t>
      </w:r>
    </w:p>
    <w:p>
      <w:pPr>
        <w:pStyle w:val="85"/>
        <w:numPr>
          <w:ilvl w:val="0"/>
          <w:numId w:val="5"/>
        </w:numPr>
        <w:spacing w:before="0" w:after="0"/>
        <w:ind w:firstLineChars="0"/>
        <w:rPr>
          <w:rFonts w:ascii="宋体" w:hAnsi="宋体"/>
        </w:rPr>
      </w:pPr>
      <w:r>
        <w:rPr>
          <w:rFonts w:hint="eastAsia" w:ascii="宋体" w:hAnsi="宋体"/>
        </w:rPr>
        <w:t>每月检查系统各系统软件日志记录；</w:t>
      </w:r>
    </w:p>
    <w:p>
      <w:pPr>
        <w:pStyle w:val="85"/>
        <w:numPr>
          <w:ilvl w:val="0"/>
          <w:numId w:val="5"/>
        </w:numPr>
        <w:spacing w:before="0" w:after="0"/>
        <w:ind w:firstLineChars="0"/>
        <w:rPr>
          <w:rFonts w:ascii="宋体" w:hAnsi="宋体"/>
        </w:rPr>
      </w:pPr>
      <w:r>
        <w:rPr>
          <w:rFonts w:hint="eastAsia" w:ascii="宋体" w:hAnsi="宋体"/>
        </w:rPr>
        <w:t>定期检查操作系统软件的运行状态和系统补丁安装情况；</w:t>
      </w:r>
    </w:p>
    <w:p>
      <w:pPr>
        <w:pStyle w:val="85"/>
        <w:numPr>
          <w:ilvl w:val="0"/>
          <w:numId w:val="5"/>
        </w:numPr>
        <w:spacing w:before="0" w:after="0"/>
        <w:ind w:firstLineChars="0"/>
        <w:rPr>
          <w:rFonts w:ascii="宋体" w:hAnsi="宋体"/>
        </w:rPr>
      </w:pPr>
      <w:r>
        <w:rPr>
          <w:rFonts w:hint="eastAsia" w:ascii="宋体" w:hAnsi="宋体"/>
        </w:rPr>
        <w:t>定期从原厂商处搜寻相关的预防性补丁信息，选择需要安装的系统软件补丁，并根据需要安装相应预防性补丁；</w:t>
      </w:r>
    </w:p>
    <w:p>
      <w:pPr>
        <w:pStyle w:val="85"/>
        <w:numPr>
          <w:ilvl w:val="0"/>
          <w:numId w:val="5"/>
        </w:numPr>
        <w:spacing w:before="0" w:after="0"/>
        <w:ind w:firstLineChars="0"/>
        <w:rPr>
          <w:rFonts w:ascii="宋体" w:hAnsi="宋体"/>
        </w:rPr>
      </w:pPr>
      <w:r>
        <w:rPr>
          <w:rFonts w:hint="eastAsia" w:ascii="宋体" w:hAnsi="宋体"/>
        </w:rPr>
        <w:t>检查预防/修正性补丁对系统的改变和影响；</w:t>
      </w:r>
    </w:p>
    <w:p>
      <w:pPr>
        <w:pStyle w:val="85"/>
        <w:numPr>
          <w:ilvl w:val="0"/>
          <w:numId w:val="5"/>
        </w:numPr>
        <w:spacing w:before="0" w:after="0"/>
        <w:ind w:firstLineChars="0"/>
        <w:rPr>
          <w:rFonts w:ascii="宋体" w:hAnsi="宋体"/>
        </w:rPr>
      </w:pPr>
      <w:r>
        <w:rPr>
          <w:rFonts w:hint="eastAsia" w:ascii="宋体" w:hAnsi="宋体"/>
        </w:rPr>
        <w:t>进行软件系统整体运行性能观察并作运行情况纪录。</w:t>
      </w:r>
    </w:p>
    <w:p>
      <w:pPr>
        <w:spacing w:line="360" w:lineRule="auto"/>
        <w:ind w:firstLine="480" w:firstLineChars="200"/>
        <w:rPr>
          <w:rFonts w:ascii="宋体" w:hAnsi="宋体"/>
          <w:sz w:val="24"/>
        </w:rPr>
      </w:pPr>
    </w:p>
    <w:p>
      <w:pPr>
        <w:pStyle w:val="4"/>
        <w:numPr>
          <w:ilvl w:val="0"/>
          <w:numId w:val="0"/>
        </w:numPr>
      </w:pPr>
      <w:bookmarkStart w:id="32" w:name="_Toc506246593"/>
      <w:bookmarkStart w:id="33" w:name="_Toc99380895"/>
      <w:bookmarkStart w:id="34" w:name="_Toc512256106"/>
      <w:r>
        <w:rPr>
          <w:rFonts w:hint="eastAsia"/>
        </w:rPr>
        <w:t>3.</w:t>
      </w:r>
      <w:r>
        <w:t>1</w:t>
      </w:r>
      <w:r>
        <w:rPr>
          <w:rFonts w:hint="eastAsia"/>
        </w:rPr>
        <w:t>.</w:t>
      </w:r>
      <w:r>
        <w:t>5</w:t>
      </w:r>
      <w:r>
        <w:rPr>
          <w:rFonts w:hint="eastAsia"/>
        </w:rPr>
        <w:t>运维人员</w:t>
      </w:r>
      <w:bookmarkEnd w:id="32"/>
      <w:r>
        <w:rPr>
          <w:rFonts w:hint="eastAsia"/>
        </w:rPr>
        <w:t>配备</w:t>
      </w:r>
      <w:bookmarkEnd w:id="33"/>
      <w:bookmarkEnd w:id="34"/>
    </w:p>
    <w:p>
      <w:pPr>
        <w:pStyle w:val="85"/>
        <w:spacing w:before="0" w:after="0"/>
        <w:rPr>
          <w:rFonts w:ascii="宋体" w:hAnsi="宋体"/>
        </w:rPr>
      </w:pPr>
      <w:r>
        <w:rPr>
          <w:rFonts w:hint="eastAsia" w:ascii="宋体" w:hAnsi="宋体"/>
        </w:rPr>
        <w:t>本期项目</w:t>
      </w:r>
      <w:r>
        <w:rPr>
          <w:rFonts w:hint="eastAsia" w:ascii="宋体" w:hAnsi="宋体"/>
          <w:lang w:val="en-US" w:eastAsia="zh-CN"/>
        </w:rPr>
        <w:t>应至少</w:t>
      </w:r>
      <w:r>
        <w:rPr>
          <w:rFonts w:hint="eastAsia" w:ascii="宋体" w:hAnsi="宋体"/>
        </w:rPr>
        <w:t>配置以下运维人员：</w:t>
      </w:r>
    </w:p>
    <w:p>
      <w:pPr>
        <w:pStyle w:val="85"/>
        <w:spacing w:before="0" w:after="0"/>
        <w:rPr>
          <w:rFonts w:ascii="宋体" w:hAnsi="宋体"/>
        </w:rPr>
      </w:pPr>
      <w:r>
        <w:rPr>
          <w:rFonts w:hint="eastAsia" w:ascii="宋体" w:hAnsi="宋体"/>
        </w:rPr>
        <w:t>本地化服务小组设组长（项目总负责）一名，副组长（技术总负责）一名。实行组长负责制。</w:t>
      </w:r>
    </w:p>
    <w:p>
      <w:pPr>
        <w:pStyle w:val="85"/>
        <w:spacing w:before="0" w:after="0"/>
        <w:rPr>
          <w:rFonts w:ascii="宋体" w:hAnsi="宋体"/>
        </w:rPr>
      </w:pPr>
      <w:r>
        <w:rPr>
          <w:rFonts w:hint="eastAsia" w:ascii="宋体" w:hAnsi="宋体"/>
        </w:rPr>
        <w:t>人员派出：一般服务项目，1名现场技术支持工程师；较重大问题解决，由副组长带领2名工程师共同解决；重大或灾难性故障，由组长、副组长带领2-3名工程师共同解决。</w:t>
      </w:r>
    </w:p>
    <w:p>
      <w:pPr>
        <w:pStyle w:val="85"/>
        <w:spacing w:before="0" w:after="0"/>
        <w:rPr>
          <w:rFonts w:ascii="宋体" w:hAnsi="宋体"/>
        </w:rPr>
      </w:pPr>
      <w:r>
        <w:rPr>
          <w:rFonts w:hint="eastAsia" w:ascii="宋体" w:hAnsi="宋体"/>
        </w:rPr>
        <w:t>本地化服务采用对等交流与协商工作方式，业主委派1名技术人员，与本地化服务小组及时、经常交流与沟通，共同探讨问题解决方案。</w:t>
      </w:r>
    </w:p>
    <w:p>
      <w:pPr>
        <w:pStyle w:val="85"/>
        <w:spacing w:before="0" w:after="0"/>
        <w:rPr>
          <w:rFonts w:ascii="宋体" w:hAnsi="宋体"/>
        </w:rPr>
      </w:pPr>
      <w:r>
        <w:rPr>
          <w:rFonts w:hint="eastAsia" w:ascii="宋体" w:hAnsi="宋体"/>
        </w:rPr>
        <w:t>同时针对本项目必须提供现场一支强有力的运维服务团队。</w:t>
      </w:r>
    </w:p>
    <w:p>
      <w:pPr>
        <w:pStyle w:val="4"/>
        <w:numPr>
          <w:ilvl w:val="0"/>
          <w:numId w:val="0"/>
        </w:numPr>
      </w:pPr>
      <w:bookmarkStart w:id="35" w:name="_Toc512256108"/>
      <w:bookmarkStart w:id="36" w:name="_Toc99380896"/>
      <w:r>
        <w:rPr>
          <w:rFonts w:hint="eastAsia"/>
        </w:rPr>
        <w:t>3.</w:t>
      </w:r>
      <w:r>
        <w:t>1</w:t>
      </w:r>
      <w:r>
        <w:rPr>
          <w:rFonts w:hint="eastAsia"/>
        </w:rPr>
        <w:t>.</w:t>
      </w:r>
      <w:r>
        <w:t>6</w:t>
      </w:r>
      <w:r>
        <w:rPr>
          <w:rFonts w:hint="eastAsia"/>
        </w:rPr>
        <w:t>定期巡检服务</w:t>
      </w:r>
      <w:bookmarkEnd w:id="35"/>
      <w:bookmarkEnd w:id="36"/>
    </w:p>
    <w:p>
      <w:pPr>
        <w:pStyle w:val="85"/>
        <w:rPr>
          <w:rFonts w:ascii="宋体" w:hAnsi="宋体"/>
        </w:rPr>
      </w:pPr>
      <w:r>
        <w:rPr>
          <w:rFonts w:hint="eastAsia" w:ascii="宋体" w:hAnsi="宋体"/>
        </w:rPr>
        <w:t>定期巡检是整个维保服务重要的一个组成部分，有效的巡检关乎系统正常运行，及时的巡检可以有效降低系统的故障率，“防范于未然”。定期巡检主要是对系统检查是否正常运行，是否出现运行故障和隐患，以及对资源性能调配，是否存在安全漏洞等检测项。</w:t>
      </w:r>
    </w:p>
    <w:tbl>
      <w:tblPr>
        <w:tblStyle w:val="29"/>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86"/>
        <w:gridCol w:w="1244"/>
        <w:gridCol w:w="5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851" w:type="dxa"/>
            <w:shd w:val="clear" w:color="auto" w:fill="auto"/>
            <w:vAlign w:val="center"/>
          </w:tcPr>
          <w:p>
            <w:pPr>
              <w:spacing w:line="360" w:lineRule="auto"/>
              <w:jc w:val="center"/>
              <w:rPr>
                <w:rFonts w:ascii="宋体" w:hAnsi="宋体"/>
                <w:b/>
                <w:sz w:val="24"/>
              </w:rPr>
            </w:pPr>
            <w:r>
              <w:rPr>
                <w:rFonts w:hint="eastAsia" w:ascii="宋体" w:hAnsi="宋体"/>
                <w:b/>
                <w:sz w:val="24"/>
              </w:rPr>
              <w:t>序号</w:t>
            </w:r>
          </w:p>
        </w:tc>
        <w:tc>
          <w:tcPr>
            <w:tcW w:w="1186" w:type="dxa"/>
            <w:shd w:val="clear" w:color="auto" w:fill="auto"/>
            <w:vAlign w:val="center"/>
          </w:tcPr>
          <w:p>
            <w:pPr>
              <w:spacing w:line="360" w:lineRule="auto"/>
              <w:jc w:val="center"/>
              <w:rPr>
                <w:rFonts w:ascii="宋体" w:hAnsi="宋体"/>
                <w:b/>
                <w:sz w:val="24"/>
              </w:rPr>
            </w:pPr>
            <w:r>
              <w:rPr>
                <w:rFonts w:hint="eastAsia" w:ascii="宋体" w:hAnsi="宋体"/>
                <w:b/>
                <w:sz w:val="24"/>
              </w:rPr>
              <w:t>服务项目</w:t>
            </w:r>
          </w:p>
        </w:tc>
        <w:tc>
          <w:tcPr>
            <w:tcW w:w="1244" w:type="dxa"/>
            <w:shd w:val="clear" w:color="auto" w:fill="auto"/>
            <w:vAlign w:val="center"/>
          </w:tcPr>
          <w:p>
            <w:pPr>
              <w:spacing w:line="360" w:lineRule="auto"/>
              <w:jc w:val="center"/>
              <w:rPr>
                <w:rFonts w:ascii="宋体" w:hAnsi="宋体"/>
                <w:b/>
                <w:sz w:val="24"/>
              </w:rPr>
            </w:pPr>
            <w:r>
              <w:rPr>
                <w:rFonts w:hint="eastAsia" w:ascii="宋体" w:hAnsi="宋体"/>
                <w:b/>
                <w:sz w:val="24"/>
              </w:rPr>
              <w:t>服务子项</w:t>
            </w:r>
          </w:p>
        </w:tc>
        <w:tc>
          <w:tcPr>
            <w:tcW w:w="5650" w:type="dxa"/>
            <w:shd w:val="clear" w:color="auto" w:fill="auto"/>
            <w:vAlign w:val="center"/>
          </w:tcPr>
          <w:p>
            <w:pPr>
              <w:spacing w:line="360" w:lineRule="auto"/>
              <w:jc w:val="center"/>
              <w:rPr>
                <w:rFonts w:ascii="宋体" w:hAnsi="宋体"/>
                <w:b/>
                <w:sz w:val="24"/>
              </w:rPr>
            </w:pPr>
            <w:r>
              <w:rPr>
                <w:rFonts w:hint="eastAsia" w:ascii="宋体" w:hAnsi="宋体"/>
                <w:b/>
                <w:sz w:val="24"/>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851" w:type="dxa"/>
            <w:shd w:val="clear" w:color="auto" w:fill="auto"/>
          </w:tcPr>
          <w:p>
            <w:pPr>
              <w:spacing w:line="360" w:lineRule="auto"/>
              <w:jc w:val="center"/>
              <w:rPr>
                <w:rFonts w:ascii="宋体" w:hAnsi="宋体"/>
                <w:sz w:val="24"/>
              </w:rPr>
            </w:pPr>
            <w:r>
              <w:rPr>
                <w:rFonts w:hint="eastAsia" w:ascii="宋体" w:hAnsi="宋体"/>
                <w:sz w:val="24"/>
              </w:rPr>
              <w:t>1</w:t>
            </w:r>
          </w:p>
        </w:tc>
        <w:tc>
          <w:tcPr>
            <w:tcW w:w="1186" w:type="dxa"/>
            <w:vMerge w:val="restart"/>
            <w:shd w:val="clear" w:color="auto" w:fill="auto"/>
          </w:tcPr>
          <w:p>
            <w:pPr>
              <w:spacing w:line="360" w:lineRule="auto"/>
              <w:rPr>
                <w:rFonts w:ascii="宋体" w:hAnsi="宋体"/>
                <w:sz w:val="24"/>
              </w:rPr>
            </w:pPr>
            <w:r>
              <w:rPr>
                <w:rFonts w:ascii="宋体" w:hAnsi="宋体"/>
                <w:sz w:val="24"/>
              </w:rPr>
              <w:t>巡检服务</w:t>
            </w:r>
          </w:p>
        </w:tc>
        <w:tc>
          <w:tcPr>
            <w:tcW w:w="1244" w:type="dxa"/>
            <w:shd w:val="clear" w:color="auto" w:fill="auto"/>
          </w:tcPr>
          <w:p>
            <w:pPr>
              <w:spacing w:line="360" w:lineRule="auto"/>
              <w:rPr>
                <w:rFonts w:ascii="宋体" w:hAnsi="宋体" w:cs="宋体"/>
                <w:sz w:val="24"/>
              </w:rPr>
            </w:pPr>
            <w:r>
              <w:rPr>
                <w:rFonts w:hint="eastAsia" w:ascii="宋体" w:hAnsi="宋体"/>
                <w:sz w:val="24"/>
              </w:rPr>
              <w:t>月巡检</w:t>
            </w:r>
          </w:p>
        </w:tc>
        <w:tc>
          <w:tcPr>
            <w:tcW w:w="5650" w:type="dxa"/>
            <w:shd w:val="clear" w:color="auto" w:fill="auto"/>
          </w:tcPr>
          <w:p>
            <w:pPr>
              <w:spacing w:line="360" w:lineRule="auto"/>
              <w:rPr>
                <w:rFonts w:ascii="宋体" w:hAnsi="宋体" w:cs="宋体"/>
                <w:sz w:val="24"/>
              </w:rPr>
            </w:pPr>
            <w:r>
              <w:rPr>
                <w:rFonts w:hint="eastAsia" w:ascii="宋体" w:hAnsi="宋体"/>
                <w:sz w:val="24"/>
              </w:rPr>
              <w:t>根据各业务系统，定制各业务系统配套硬件指标，每月进行预防性的系统状态巡检，并提供规范的检查报告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 w:hRule="atLeast"/>
        </w:trPr>
        <w:tc>
          <w:tcPr>
            <w:tcW w:w="851" w:type="dxa"/>
            <w:shd w:val="clear" w:color="auto" w:fill="auto"/>
          </w:tcPr>
          <w:p>
            <w:pPr>
              <w:spacing w:line="360" w:lineRule="auto"/>
              <w:jc w:val="center"/>
              <w:rPr>
                <w:rFonts w:ascii="宋体" w:hAnsi="宋体"/>
                <w:sz w:val="24"/>
              </w:rPr>
            </w:pPr>
            <w:r>
              <w:rPr>
                <w:rFonts w:hint="eastAsia" w:ascii="宋体" w:hAnsi="宋体"/>
                <w:sz w:val="24"/>
              </w:rPr>
              <w:t>2</w:t>
            </w:r>
          </w:p>
        </w:tc>
        <w:tc>
          <w:tcPr>
            <w:tcW w:w="1186" w:type="dxa"/>
            <w:vMerge w:val="continue"/>
            <w:shd w:val="clear" w:color="auto" w:fill="auto"/>
          </w:tcPr>
          <w:p>
            <w:pPr>
              <w:spacing w:line="360" w:lineRule="auto"/>
              <w:rPr>
                <w:rFonts w:ascii="宋体" w:hAnsi="宋体"/>
                <w:sz w:val="24"/>
              </w:rPr>
            </w:pPr>
          </w:p>
        </w:tc>
        <w:tc>
          <w:tcPr>
            <w:tcW w:w="1244" w:type="dxa"/>
            <w:shd w:val="clear" w:color="auto" w:fill="auto"/>
          </w:tcPr>
          <w:p>
            <w:pPr>
              <w:spacing w:line="360" w:lineRule="auto"/>
              <w:rPr>
                <w:rFonts w:ascii="宋体" w:hAnsi="宋体" w:cs="宋体"/>
                <w:sz w:val="24"/>
              </w:rPr>
            </w:pPr>
            <w:r>
              <w:rPr>
                <w:rFonts w:hint="eastAsia" w:ascii="宋体" w:hAnsi="宋体"/>
                <w:sz w:val="24"/>
              </w:rPr>
              <w:t>二线月度巡检</w:t>
            </w:r>
          </w:p>
        </w:tc>
        <w:tc>
          <w:tcPr>
            <w:tcW w:w="5650" w:type="dxa"/>
            <w:shd w:val="clear" w:color="auto" w:fill="auto"/>
          </w:tcPr>
          <w:p>
            <w:pPr>
              <w:spacing w:line="360" w:lineRule="auto"/>
              <w:rPr>
                <w:rFonts w:ascii="宋体" w:hAnsi="宋体" w:cs="宋体"/>
                <w:sz w:val="24"/>
              </w:rPr>
            </w:pPr>
            <w:r>
              <w:rPr>
                <w:rFonts w:hint="eastAsia" w:ascii="宋体" w:hAnsi="宋体"/>
                <w:sz w:val="24"/>
              </w:rPr>
              <w:t>主要针对核心业务系统的服务器硬件存储等定制巡检指标，每月由二线工程师进行专家级的月度巡检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4" w:hRule="atLeast"/>
        </w:trPr>
        <w:tc>
          <w:tcPr>
            <w:tcW w:w="851" w:type="dxa"/>
            <w:shd w:val="clear" w:color="auto" w:fill="auto"/>
          </w:tcPr>
          <w:p>
            <w:pPr>
              <w:spacing w:line="360" w:lineRule="auto"/>
              <w:jc w:val="center"/>
              <w:rPr>
                <w:rFonts w:ascii="宋体" w:hAnsi="宋体"/>
                <w:sz w:val="24"/>
              </w:rPr>
            </w:pPr>
            <w:r>
              <w:rPr>
                <w:rFonts w:hint="eastAsia" w:ascii="宋体" w:hAnsi="宋体"/>
                <w:sz w:val="24"/>
              </w:rPr>
              <w:t>3</w:t>
            </w:r>
          </w:p>
        </w:tc>
        <w:tc>
          <w:tcPr>
            <w:tcW w:w="1186" w:type="dxa"/>
            <w:vMerge w:val="continue"/>
            <w:shd w:val="clear" w:color="auto" w:fill="auto"/>
          </w:tcPr>
          <w:p>
            <w:pPr>
              <w:spacing w:line="360" w:lineRule="auto"/>
              <w:rPr>
                <w:rFonts w:ascii="宋体" w:hAnsi="宋体"/>
                <w:sz w:val="24"/>
              </w:rPr>
            </w:pPr>
          </w:p>
        </w:tc>
        <w:tc>
          <w:tcPr>
            <w:tcW w:w="1244" w:type="dxa"/>
            <w:shd w:val="clear" w:color="auto" w:fill="auto"/>
          </w:tcPr>
          <w:p>
            <w:pPr>
              <w:spacing w:line="360" w:lineRule="auto"/>
              <w:rPr>
                <w:rFonts w:ascii="宋体" w:hAnsi="宋体"/>
                <w:sz w:val="24"/>
              </w:rPr>
            </w:pPr>
            <w:r>
              <w:rPr>
                <w:rFonts w:hint="eastAsia" w:ascii="宋体" w:hAnsi="宋体"/>
                <w:sz w:val="24"/>
              </w:rPr>
              <w:t>常规作业</w:t>
            </w:r>
          </w:p>
        </w:tc>
        <w:tc>
          <w:tcPr>
            <w:tcW w:w="5650" w:type="dxa"/>
            <w:shd w:val="clear" w:color="auto" w:fill="auto"/>
          </w:tcPr>
          <w:p>
            <w:pPr>
              <w:spacing w:line="360" w:lineRule="auto"/>
              <w:rPr>
                <w:rFonts w:ascii="宋体" w:hAnsi="宋体"/>
                <w:sz w:val="24"/>
              </w:rPr>
            </w:pPr>
            <w:r>
              <w:rPr>
                <w:rFonts w:hint="eastAsia" w:ascii="宋体" w:hAnsi="宋体"/>
                <w:sz w:val="24"/>
              </w:rPr>
              <w:t>对各系统进行维护，包括定期保养等</w:t>
            </w:r>
          </w:p>
        </w:tc>
      </w:tr>
    </w:tbl>
    <w:p>
      <w:pPr>
        <w:pStyle w:val="85"/>
        <w:rPr>
          <w:rFonts w:ascii="宋体" w:hAnsi="宋体"/>
        </w:rPr>
      </w:pPr>
      <w:r>
        <w:rPr>
          <w:rFonts w:hint="eastAsia" w:ascii="宋体" w:hAnsi="宋体"/>
        </w:rPr>
        <w:t>计划维护期内为提供不限次数的服务设备健康检查，基本的服务期内按月度进行检查，每月为一个检查周期；在每次的巡检结束后提供巡检报告，对于巡检发现的异常进行分析和排查跟踪。</w:t>
      </w:r>
    </w:p>
    <w:p>
      <w:pPr>
        <w:pStyle w:val="85"/>
        <w:rPr>
          <w:rFonts w:ascii="宋体" w:hAnsi="宋体"/>
        </w:rPr>
      </w:pPr>
      <w:r>
        <w:rPr>
          <w:rFonts w:hint="eastAsia" w:ascii="宋体" w:hAnsi="宋体"/>
        </w:rPr>
        <w:t>巡检范围包括：福建中医药大学数据中心服务器、存储、虚拟化平台等（巡检范围清单详见硬件范围清单相关章节）。所提供的巡检报告包括空间利用状况、错误日志情况、异常日志情况、CPU资源使用情况检查、IO资源使用情况检查、内存资源使用情况检查、网络资源的使用情况检查等。</w:t>
      </w:r>
    </w:p>
    <w:p>
      <w:pPr>
        <w:pStyle w:val="85"/>
        <w:ind w:firstLine="482"/>
        <w:rPr>
          <w:rFonts w:ascii="宋体" w:hAnsi="宋体"/>
          <w:b/>
        </w:rPr>
      </w:pPr>
      <w:r>
        <w:rPr>
          <w:rFonts w:hint="eastAsia" w:ascii="宋体" w:hAnsi="宋体"/>
          <w:b/>
        </w:rPr>
        <w:t>1、巡检时间</w:t>
      </w:r>
    </w:p>
    <w:p>
      <w:pPr>
        <w:pStyle w:val="85"/>
        <w:rPr>
          <w:rFonts w:ascii="宋体" w:hAnsi="宋体"/>
        </w:rPr>
      </w:pPr>
      <w:r>
        <w:rPr>
          <w:rFonts w:hint="eastAsia" w:ascii="宋体" w:hAnsi="宋体"/>
        </w:rPr>
        <w:t>每月最后一周或遇国庆、春节长假之前一周，进行机房现场巡检及预防性维护，检查设备、系统运行状况。根据设备的实际情况，对硬件设备进行预防性检查维护，确保系统和相关外设的稳定运行。在巡检结束后3日内向用户提交《巡检报告》。</w:t>
      </w:r>
    </w:p>
    <w:p>
      <w:pPr>
        <w:pStyle w:val="85"/>
        <w:ind w:firstLine="482"/>
        <w:rPr>
          <w:rFonts w:ascii="宋体" w:hAnsi="宋体"/>
          <w:b/>
        </w:rPr>
      </w:pPr>
      <w:r>
        <w:rPr>
          <w:rFonts w:hint="eastAsia" w:ascii="宋体" w:hAnsi="宋体"/>
          <w:b/>
        </w:rPr>
        <w:t>2、巡检内容</w:t>
      </w:r>
    </w:p>
    <w:p>
      <w:pPr>
        <w:pStyle w:val="85"/>
        <w:rPr>
          <w:rFonts w:ascii="宋体" w:hAnsi="宋体"/>
        </w:rPr>
      </w:pPr>
      <w:r>
        <w:rPr>
          <w:rFonts w:hint="eastAsia" w:ascii="宋体" w:hAnsi="宋体"/>
        </w:rPr>
        <w:t>1）物理主机服务器</w:t>
      </w:r>
    </w:p>
    <w:p>
      <w:pPr>
        <w:pStyle w:val="85"/>
        <w:rPr>
          <w:rFonts w:ascii="宋体" w:hAnsi="宋体"/>
        </w:rPr>
      </w:pPr>
      <w:r>
        <w:rPr>
          <w:rFonts w:hint="eastAsia" w:ascii="宋体" w:hAnsi="宋体"/>
        </w:rPr>
        <w:t>检查设备电源情况、检查主要内置硬件，设备和外围设备运行情况、系统备份、检查系统硬件指示灯情况、硬件检测诊断、检查硬件操作系统及云平台虚拟化服务器系统错误报告(Error Log) 以及其他的记录文件、检查文件系统、查看卷组信息、检查内存交换区、磁盘阵列检查、系统安全性检查、网络设置检测、对系统存在的漏洞能及时提出并协助维护技术人员完善、检查错误记录及历史记录、易损易耗部件的检查与建议、使用记录检查、数据备份情况、针对检查结果提供报告、客户要求的其他一般技术支持。</w:t>
      </w:r>
    </w:p>
    <w:tbl>
      <w:tblPr>
        <w:tblStyle w:val="29"/>
        <w:tblW w:w="8760" w:type="dxa"/>
        <w:tblInd w:w="-5" w:type="dxa"/>
        <w:tblLayout w:type="fixed"/>
        <w:tblCellMar>
          <w:top w:w="0" w:type="dxa"/>
          <w:left w:w="108" w:type="dxa"/>
          <w:bottom w:w="0" w:type="dxa"/>
          <w:right w:w="108" w:type="dxa"/>
        </w:tblCellMar>
      </w:tblPr>
      <w:tblGrid>
        <w:gridCol w:w="1247"/>
        <w:gridCol w:w="1701"/>
        <w:gridCol w:w="5812"/>
      </w:tblGrid>
      <w:tr>
        <w:tblPrEx>
          <w:tblCellMar>
            <w:top w:w="0" w:type="dxa"/>
            <w:left w:w="108" w:type="dxa"/>
            <w:bottom w:w="0" w:type="dxa"/>
            <w:right w:w="108" w:type="dxa"/>
          </w:tblCellMar>
        </w:tblPrEx>
        <w:tc>
          <w:tcPr>
            <w:tcW w:w="1247"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维护服务</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内容</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具体描述</w:t>
            </w:r>
          </w:p>
        </w:tc>
      </w:tr>
      <w:tr>
        <w:tblPrEx>
          <w:tblCellMar>
            <w:top w:w="0" w:type="dxa"/>
            <w:left w:w="108" w:type="dxa"/>
            <w:bottom w:w="0" w:type="dxa"/>
            <w:right w:w="108" w:type="dxa"/>
          </w:tblCellMar>
        </w:tblPrEx>
        <w:trPr>
          <w:trHeight w:val="1622" w:hRule="atLeast"/>
        </w:trPr>
        <w:tc>
          <w:tcPr>
            <w:tcW w:w="1247" w:type="dxa"/>
            <w:tcBorders>
              <w:top w:val="single" w:color="000000" w:sz="4" w:space="0"/>
              <w:left w:val="single" w:color="000000" w:sz="4" w:space="0"/>
              <w:bottom w:val="single" w:color="auto" w:sz="4" w:space="0"/>
            </w:tcBorders>
            <w:vAlign w:val="center"/>
          </w:tcPr>
          <w:p>
            <w:pPr>
              <w:pStyle w:val="85"/>
              <w:ind w:firstLine="0" w:firstLineChars="0"/>
              <w:rPr>
                <w:rFonts w:ascii="宋体" w:hAnsi="宋体"/>
              </w:rPr>
            </w:pPr>
            <w:r>
              <w:rPr>
                <w:rFonts w:hint="eastAsia" w:ascii="宋体" w:hAnsi="宋体"/>
              </w:rPr>
              <w:t>系统硬件日常维护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硬件</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检查设备系统前面操作板LCD显示，如有系统错误代码显示，尽快处理；检查机器后面的电源风扇、各设备的电源指示灯是否正常；检查各设备、控制卡的状态指示灯是否正常；设备的电缆连接是否正常；</w:t>
            </w:r>
          </w:p>
        </w:tc>
      </w:tr>
      <w:tr>
        <w:tblPrEx>
          <w:tblCellMar>
            <w:top w:w="0" w:type="dxa"/>
            <w:left w:w="108" w:type="dxa"/>
            <w:bottom w:w="0" w:type="dxa"/>
            <w:right w:w="108" w:type="dxa"/>
          </w:tblCellMar>
        </w:tblPrEx>
        <w:trPr>
          <w:trHeight w:val="1182" w:hRule="atLeast"/>
        </w:trPr>
        <w:tc>
          <w:tcPr>
            <w:tcW w:w="1247" w:type="dxa"/>
            <w:vMerge w:val="restart"/>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系统软件日常维护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操作系统</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系统错误日志；文件系统检查、清理；分页空间检查；设备状态检查；网络检查；磁盘阵列检查；与设备相连的外部设备的检查；系统运行性能检查和高级检查；</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补丁的安装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如果有新补丁发布，根据用户需要，每半年提供一次累积补丁程序，根据系统运行情况与用户商讨后进行补丁程序安装。针对特别的授权软件在应用中的某个问题，随时提供已发布的修正性补丁。</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操作系统版本升级安装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根据用户需求对操作系统版本升级制定计划；安装操作系统；进行测试及性能调优。</w:t>
            </w:r>
          </w:p>
        </w:tc>
      </w:tr>
      <w:tr>
        <w:tblPrEx>
          <w:tblCellMar>
            <w:top w:w="0" w:type="dxa"/>
            <w:left w:w="108" w:type="dxa"/>
            <w:bottom w:w="0" w:type="dxa"/>
            <w:right w:w="108" w:type="dxa"/>
          </w:tblCellMar>
        </w:tblPrEx>
        <w:trPr>
          <w:trHeight w:val="67" w:hRule="atLeast"/>
        </w:trPr>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集群管理软件的配置和安装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安装高可用集群管理软件、配置网络、心跳线；进行测试及性能调优。</w:t>
            </w:r>
          </w:p>
        </w:tc>
      </w:tr>
    </w:tbl>
    <w:p>
      <w:pPr>
        <w:pStyle w:val="85"/>
        <w:rPr>
          <w:rFonts w:ascii="宋体" w:hAnsi="宋体"/>
        </w:rPr>
      </w:pPr>
      <w:r>
        <w:rPr>
          <w:rFonts w:hint="eastAsia" w:ascii="宋体" w:hAnsi="宋体"/>
        </w:rPr>
        <w:t>2）存储及光纤交换机设备</w:t>
      </w:r>
    </w:p>
    <w:p>
      <w:pPr>
        <w:pStyle w:val="85"/>
        <w:rPr>
          <w:rFonts w:ascii="宋体" w:hAnsi="宋体"/>
        </w:rPr>
      </w:pPr>
      <w:r>
        <w:rPr>
          <w:rFonts w:hint="eastAsia" w:ascii="宋体" w:hAnsi="宋体"/>
        </w:rPr>
        <w:t>检查存储前后面板指示灯（电源、硬盘、故障、光纤等）、电源电压、电源风扇、控制器电池、Raid状态、多路径冗余情况、负载均衡、磁盘使用率、IO状态。</w:t>
      </w:r>
    </w:p>
    <w:tbl>
      <w:tblPr>
        <w:tblStyle w:val="29"/>
        <w:tblW w:w="8760" w:type="dxa"/>
        <w:tblInd w:w="-5" w:type="dxa"/>
        <w:tblLayout w:type="fixed"/>
        <w:tblCellMar>
          <w:top w:w="0" w:type="dxa"/>
          <w:left w:w="108" w:type="dxa"/>
          <w:bottom w:w="0" w:type="dxa"/>
          <w:right w:w="108" w:type="dxa"/>
        </w:tblCellMar>
      </w:tblPr>
      <w:tblGrid>
        <w:gridCol w:w="1247"/>
        <w:gridCol w:w="1701"/>
        <w:gridCol w:w="5812"/>
      </w:tblGrid>
      <w:tr>
        <w:tblPrEx>
          <w:tblCellMar>
            <w:top w:w="0" w:type="dxa"/>
            <w:left w:w="108" w:type="dxa"/>
            <w:bottom w:w="0" w:type="dxa"/>
            <w:right w:w="108" w:type="dxa"/>
          </w:tblCellMar>
        </w:tblPrEx>
        <w:tc>
          <w:tcPr>
            <w:tcW w:w="1247"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维护服务</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内容</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操作步骤</w:t>
            </w:r>
          </w:p>
        </w:tc>
      </w:tr>
      <w:tr>
        <w:tblPrEx>
          <w:tblCellMar>
            <w:top w:w="0" w:type="dxa"/>
            <w:left w:w="108" w:type="dxa"/>
            <w:bottom w:w="0" w:type="dxa"/>
            <w:right w:w="108" w:type="dxa"/>
          </w:tblCellMar>
        </w:tblPrEx>
        <w:tc>
          <w:tcPr>
            <w:tcW w:w="1247"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系统硬件日常维护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硬件</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检查存储及光纤交换机设备系统前后面操作板指示灯，如有报警灯，将尽快处理；检查机器后面的电源风扇、各设备的电源指示灯是否正常；检查各设备、控制卡的状态指示灯是否正常；设备的电缆连接是否正常；</w:t>
            </w:r>
          </w:p>
        </w:tc>
      </w:tr>
      <w:tr>
        <w:tblPrEx>
          <w:tblCellMar>
            <w:top w:w="0" w:type="dxa"/>
            <w:left w:w="108" w:type="dxa"/>
            <w:bottom w:w="0" w:type="dxa"/>
            <w:right w:w="108" w:type="dxa"/>
          </w:tblCellMar>
        </w:tblPrEx>
        <w:tc>
          <w:tcPr>
            <w:tcW w:w="1247" w:type="dxa"/>
            <w:vMerge w:val="restart"/>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系统软件日常维护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存储主机系统检查</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存储主机系统错误日志；设备状态检查；网络检查；</w:t>
            </w:r>
          </w:p>
          <w:p>
            <w:pPr>
              <w:pStyle w:val="85"/>
              <w:ind w:firstLine="0" w:firstLineChars="0"/>
              <w:rPr>
                <w:rFonts w:ascii="宋体" w:hAnsi="宋体"/>
              </w:rPr>
            </w:pPr>
            <w:r>
              <w:rPr>
                <w:rFonts w:hint="eastAsia" w:ascii="宋体" w:hAnsi="宋体"/>
              </w:rPr>
              <w:t>与各相连服务器的连接检查；系统运行性能检查和高级检查；</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分配磁盘空间检查</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为各相关服务器检查磁盘空间分配情况。</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备份软件检查</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检测备份软件是否正常备份。</w:t>
            </w:r>
          </w:p>
        </w:tc>
      </w:tr>
    </w:tbl>
    <w:p>
      <w:pPr>
        <w:pStyle w:val="85"/>
        <w:rPr>
          <w:rFonts w:ascii="宋体" w:hAnsi="宋体"/>
        </w:rPr>
      </w:pPr>
      <w:r>
        <w:rPr>
          <w:rFonts w:hint="eastAsia" w:ascii="宋体" w:hAnsi="宋体"/>
        </w:rPr>
        <w:t>3）网络及安全设备</w:t>
      </w:r>
    </w:p>
    <w:p>
      <w:pPr>
        <w:pStyle w:val="85"/>
        <w:rPr>
          <w:rFonts w:ascii="宋体" w:hAnsi="宋体"/>
        </w:rPr>
      </w:pPr>
      <w:r>
        <w:rPr>
          <w:rFonts w:hint="eastAsia" w:ascii="宋体" w:hAnsi="宋体"/>
        </w:rPr>
        <w:t>检查设备电源情况、检查主要内置硬件，设备和外围设备运行情况、系统备份、检查系统硬件指示灯情况、硬件检测诊断、检查系统错误报告(Error Log) 以及其他的记录文件、检查文件系统、系统安全性检查、网络设置检测、对系统存在的漏洞能及时提出并协助维护技术人员完善、检查错误记录及历史记录、易损易耗部件的检查与建议、使用记录检查、数据备份情况、针对检查结果提供报告、客户要求的其他一般技术支持。</w:t>
      </w:r>
    </w:p>
    <w:tbl>
      <w:tblPr>
        <w:tblStyle w:val="29"/>
        <w:tblW w:w="8760" w:type="dxa"/>
        <w:tblInd w:w="-5" w:type="dxa"/>
        <w:tblLayout w:type="fixed"/>
        <w:tblCellMar>
          <w:top w:w="0" w:type="dxa"/>
          <w:left w:w="108" w:type="dxa"/>
          <w:bottom w:w="0" w:type="dxa"/>
          <w:right w:w="108" w:type="dxa"/>
        </w:tblCellMar>
      </w:tblPr>
      <w:tblGrid>
        <w:gridCol w:w="1247"/>
        <w:gridCol w:w="1701"/>
        <w:gridCol w:w="5812"/>
      </w:tblGrid>
      <w:tr>
        <w:tblPrEx>
          <w:tblCellMar>
            <w:top w:w="0" w:type="dxa"/>
            <w:left w:w="108" w:type="dxa"/>
            <w:bottom w:w="0" w:type="dxa"/>
            <w:right w:w="108" w:type="dxa"/>
          </w:tblCellMar>
        </w:tblPrEx>
        <w:tc>
          <w:tcPr>
            <w:tcW w:w="1247"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维护服务</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内容</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操作步骤</w:t>
            </w:r>
          </w:p>
        </w:tc>
      </w:tr>
      <w:tr>
        <w:tblPrEx>
          <w:tblCellMar>
            <w:top w:w="0" w:type="dxa"/>
            <w:left w:w="108" w:type="dxa"/>
            <w:bottom w:w="0" w:type="dxa"/>
            <w:right w:w="108" w:type="dxa"/>
          </w:tblCellMar>
        </w:tblPrEx>
        <w:tc>
          <w:tcPr>
            <w:tcW w:w="1247" w:type="dxa"/>
            <w:tcBorders>
              <w:top w:val="single" w:color="000000" w:sz="4" w:space="0"/>
              <w:left w:val="single" w:color="000000" w:sz="4" w:space="0"/>
              <w:bottom w:val="single" w:color="auto" w:sz="4" w:space="0"/>
            </w:tcBorders>
            <w:vAlign w:val="center"/>
          </w:tcPr>
          <w:p>
            <w:pPr>
              <w:pStyle w:val="85"/>
              <w:ind w:firstLine="0" w:firstLineChars="0"/>
              <w:rPr>
                <w:rFonts w:ascii="宋体" w:hAnsi="宋体"/>
              </w:rPr>
            </w:pPr>
            <w:r>
              <w:rPr>
                <w:rFonts w:hint="eastAsia" w:ascii="宋体" w:hAnsi="宋体"/>
              </w:rPr>
              <w:t>系统硬件日常维护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硬件</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检查网络及安全设备前面板指示灯，如有报警灯亮起，将尽快处理；检查机器后面的电源风扇、各设备的电源指示灯是否正常；检查各设备、控制卡的状态指示灯是否正常；设备的电缆连接是否正常；</w:t>
            </w:r>
          </w:p>
        </w:tc>
      </w:tr>
      <w:tr>
        <w:tblPrEx>
          <w:tblCellMar>
            <w:top w:w="0" w:type="dxa"/>
            <w:left w:w="108" w:type="dxa"/>
            <w:bottom w:w="0" w:type="dxa"/>
            <w:right w:w="108" w:type="dxa"/>
          </w:tblCellMar>
        </w:tblPrEx>
        <w:tc>
          <w:tcPr>
            <w:tcW w:w="1247" w:type="dxa"/>
            <w:vMerge w:val="restart"/>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软件、配置日常维护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操作系统</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系统错误日志；设备状态检查；网络通信性检查；</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auto"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系统版本升级安装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对操作系统版本升级的计划和准备向建议。安装新版本的操作系统，进行测试及确定其基本功能。</w:t>
            </w:r>
          </w:p>
        </w:tc>
      </w:tr>
    </w:tbl>
    <w:p>
      <w:pPr>
        <w:pStyle w:val="85"/>
        <w:rPr>
          <w:rFonts w:ascii="宋体" w:hAnsi="宋体"/>
        </w:rPr>
      </w:pPr>
      <w:r>
        <w:rPr>
          <w:rFonts w:hint="eastAsia" w:ascii="宋体" w:hAnsi="宋体"/>
        </w:rPr>
        <w:t>4）维护服务总结</w:t>
      </w:r>
    </w:p>
    <w:p>
      <w:pPr>
        <w:pStyle w:val="85"/>
        <w:rPr>
          <w:rFonts w:ascii="宋体" w:hAnsi="宋体"/>
        </w:rPr>
      </w:pPr>
      <w:r>
        <w:rPr>
          <w:rFonts w:hint="eastAsia" w:ascii="宋体" w:hAnsi="宋体"/>
        </w:rPr>
        <w:t>为提高服务的质量，每季度召开一次服务例会，对前一阶段的服务情况进行回顾和总结，并提出改进建议。</w:t>
      </w:r>
    </w:p>
    <w:p>
      <w:pPr>
        <w:pStyle w:val="85"/>
        <w:rPr>
          <w:rFonts w:ascii="宋体" w:hAnsi="宋体"/>
        </w:rPr>
      </w:pPr>
      <w:r>
        <w:rPr>
          <w:rFonts w:hint="eastAsia" w:ascii="宋体" w:hAnsi="宋体"/>
        </w:rPr>
        <w:t>服务例会具体内容：</w:t>
      </w:r>
    </w:p>
    <w:p>
      <w:pPr>
        <w:pStyle w:val="85"/>
        <w:rPr>
          <w:rFonts w:ascii="宋体" w:hAnsi="宋体"/>
        </w:rPr>
      </w:pPr>
      <w:r>
        <w:rPr>
          <w:rFonts w:hint="eastAsia" w:ascii="宋体" w:hAnsi="宋体"/>
        </w:rPr>
        <w:t>前一阶段所执行服务进行介绍，提交阶段性服务情况汇总报告。报告内容应包括该阶段所发生全部服务内容的执行及客户满意度情况；提供阶段性服务情况汇总报告进行确认；阶段服务执行情况及服务质量的意见及建议；制定下一阶段的客户服务计划；讨论本阶段服务过程中的重大事件对系统运行的影响及应对措施，如系统升级、搬迁、系统管理人员变动、管理流程及制度变更等；针对本阶段服务过程中的重大技术问题，探讨预防措施及系统优化措施，寻求问题解决更为合理、有效的途径，改进针对此类问题的服务流程；介绍该阶段所推出的补丁程序信息、软件版本发布信息。</w:t>
      </w:r>
    </w:p>
    <w:p>
      <w:pPr>
        <w:pStyle w:val="4"/>
        <w:numPr>
          <w:ilvl w:val="0"/>
          <w:numId w:val="0"/>
        </w:numPr>
      </w:pPr>
      <w:bookmarkStart w:id="37" w:name="_Toc511502276"/>
      <w:bookmarkStart w:id="38" w:name="_Toc289093692"/>
      <w:bookmarkStart w:id="39" w:name="_Toc99380897"/>
      <w:bookmarkStart w:id="40" w:name="_Toc313529061"/>
      <w:bookmarkStart w:id="41" w:name="_Toc512256112"/>
      <w:r>
        <w:rPr>
          <w:rFonts w:hint="eastAsia"/>
        </w:rPr>
        <w:t>3.</w:t>
      </w:r>
      <w:r>
        <w:t>1</w:t>
      </w:r>
      <w:r>
        <w:rPr>
          <w:rFonts w:hint="eastAsia"/>
        </w:rPr>
        <w:t>.</w:t>
      </w:r>
      <w:r>
        <w:t>7</w:t>
      </w:r>
      <w:r>
        <w:rPr>
          <w:rFonts w:hint="eastAsia"/>
        </w:rPr>
        <w:t>运维服务报告</w:t>
      </w:r>
      <w:bookmarkEnd w:id="37"/>
      <w:bookmarkEnd w:id="38"/>
      <w:bookmarkEnd w:id="39"/>
      <w:bookmarkEnd w:id="40"/>
      <w:bookmarkEnd w:id="41"/>
    </w:p>
    <w:p>
      <w:pPr>
        <w:spacing w:line="360" w:lineRule="auto"/>
        <w:ind w:firstLine="480" w:firstLineChars="200"/>
        <w:rPr>
          <w:rFonts w:ascii="宋体" w:hAnsi="宋体"/>
          <w:sz w:val="24"/>
        </w:rPr>
      </w:pPr>
      <w:r>
        <w:rPr>
          <w:rFonts w:hint="eastAsia" w:ascii="宋体" w:hAnsi="宋体"/>
          <w:sz w:val="24"/>
        </w:rPr>
        <w:t>记录福建中医药大学数据中心的服务申请，且现场工程师</w:t>
      </w:r>
      <w:r>
        <w:rPr>
          <w:rFonts w:hint="eastAsia" w:ascii="宋体" w:hAnsi="宋体"/>
          <w:sz w:val="24"/>
          <w:lang w:val="en-US" w:eastAsia="zh-CN"/>
        </w:rPr>
        <w:t>完成</w:t>
      </w:r>
      <w:r>
        <w:rPr>
          <w:rFonts w:hint="eastAsia" w:ascii="宋体" w:hAnsi="宋体"/>
          <w:sz w:val="24"/>
        </w:rPr>
        <w:t>现场服务后，</w:t>
      </w:r>
      <w:r>
        <w:rPr>
          <w:rFonts w:hint="eastAsia" w:ascii="宋体" w:hAnsi="宋体"/>
          <w:sz w:val="24"/>
          <w:lang w:val="en-US" w:eastAsia="zh-CN"/>
        </w:rPr>
        <w:t>应</w:t>
      </w:r>
      <w:r>
        <w:rPr>
          <w:rFonts w:hint="eastAsia" w:ascii="宋体" w:hAnsi="宋体"/>
          <w:sz w:val="24"/>
        </w:rPr>
        <w:t>请福建中医药大学的系统管理员或技术支持专家将在“现场服务记录”上签字，作为福建中医药大学对现场服务的确认，此文件将被保存。所有服务的请求和问题处理都可查询、分类，同时可帮助工程师发现潜在问题。所有服务的实施也均有服务报告作为交付物。</w:t>
      </w:r>
    </w:p>
    <w:p>
      <w:pPr>
        <w:spacing w:line="360" w:lineRule="auto"/>
        <w:ind w:firstLine="480" w:firstLineChars="200"/>
        <w:rPr>
          <w:rFonts w:ascii="宋体" w:hAnsi="宋体"/>
          <w:sz w:val="24"/>
        </w:rPr>
      </w:pPr>
      <w:r>
        <w:rPr>
          <w:rFonts w:hint="eastAsia" w:ascii="宋体" w:hAnsi="宋体"/>
          <w:sz w:val="24"/>
        </w:rPr>
        <w:t>客户服务经理季度会总结这些服务记录，并形成服务总结报告，递交给福建中医药大学运维经理，使福建中医药大学了解服务实施情况、系统运行情况，以便确定今后要采取的一些改进措施。</w:t>
      </w:r>
    </w:p>
    <w:p>
      <w:pPr>
        <w:pStyle w:val="4"/>
        <w:numPr>
          <w:ilvl w:val="0"/>
          <w:numId w:val="0"/>
        </w:numPr>
      </w:pPr>
      <w:bookmarkStart w:id="42" w:name="_Toc99380898"/>
      <w:bookmarkStart w:id="43" w:name="_Toc289093693"/>
      <w:bookmarkStart w:id="44" w:name="_Toc512256113"/>
      <w:bookmarkStart w:id="45" w:name="_Toc313529062"/>
      <w:bookmarkStart w:id="46" w:name="_Toc511502277"/>
      <w:r>
        <w:rPr>
          <w:rFonts w:hint="eastAsia"/>
        </w:rPr>
        <w:t>3.</w:t>
      </w:r>
      <w:r>
        <w:t>1</w:t>
      </w:r>
      <w:r>
        <w:rPr>
          <w:rFonts w:hint="eastAsia"/>
        </w:rPr>
        <w:t>.</w:t>
      </w:r>
      <w:r>
        <w:t>8</w:t>
      </w:r>
      <w:r>
        <w:rPr>
          <w:rFonts w:hint="eastAsia"/>
        </w:rPr>
        <w:t>月度服务回顾</w:t>
      </w:r>
      <w:bookmarkEnd w:id="42"/>
      <w:bookmarkEnd w:id="43"/>
      <w:bookmarkEnd w:id="44"/>
      <w:bookmarkEnd w:id="45"/>
      <w:bookmarkEnd w:id="46"/>
    </w:p>
    <w:p>
      <w:pPr>
        <w:spacing w:line="360" w:lineRule="auto"/>
        <w:ind w:firstLine="480" w:firstLineChars="200"/>
        <w:rPr>
          <w:rFonts w:ascii="宋体" w:hAnsi="宋体"/>
          <w:sz w:val="24"/>
        </w:rPr>
      </w:pPr>
      <w:r>
        <w:rPr>
          <w:rFonts w:hint="eastAsia" w:ascii="宋体" w:hAnsi="宋体"/>
          <w:sz w:val="24"/>
        </w:rPr>
        <w:t>客户服务经理每月会安排与福建中医药大学一起召开系统运行和服务情况定期总结回顾会议。</w:t>
      </w:r>
    </w:p>
    <w:p>
      <w:pPr>
        <w:numPr>
          <w:ilvl w:val="0"/>
          <w:numId w:val="6"/>
        </w:numPr>
        <w:spacing w:line="360" w:lineRule="auto"/>
        <w:rPr>
          <w:rFonts w:ascii="宋体" w:hAnsi="宋体"/>
          <w:sz w:val="24"/>
        </w:rPr>
      </w:pPr>
      <w:r>
        <w:rPr>
          <w:rFonts w:hint="eastAsia" w:ascii="宋体" w:hAnsi="宋体"/>
          <w:sz w:val="24"/>
        </w:rPr>
        <w:t>总结上个月度服务实施的情况</w:t>
      </w:r>
    </w:p>
    <w:p>
      <w:pPr>
        <w:numPr>
          <w:ilvl w:val="0"/>
          <w:numId w:val="6"/>
        </w:numPr>
        <w:spacing w:line="360" w:lineRule="auto"/>
        <w:rPr>
          <w:rFonts w:ascii="宋体" w:hAnsi="宋体"/>
          <w:sz w:val="24"/>
        </w:rPr>
      </w:pPr>
      <w:r>
        <w:rPr>
          <w:rFonts w:hint="eastAsia" w:ascii="宋体" w:hAnsi="宋体"/>
          <w:sz w:val="24"/>
        </w:rPr>
        <w:t>回顾升级问题/重要问题的处理过程</w:t>
      </w:r>
    </w:p>
    <w:p>
      <w:pPr>
        <w:numPr>
          <w:ilvl w:val="0"/>
          <w:numId w:val="6"/>
        </w:numPr>
        <w:spacing w:line="360" w:lineRule="auto"/>
        <w:rPr>
          <w:rFonts w:ascii="宋体" w:hAnsi="宋体"/>
          <w:sz w:val="24"/>
        </w:rPr>
      </w:pPr>
      <w:r>
        <w:rPr>
          <w:rFonts w:hint="eastAsia" w:ascii="宋体" w:hAnsi="宋体"/>
          <w:sz w:val="24"/>
        </w:rPr>
        <w:t>听取福建中医药大学对服务的反馈意见和服务需求</w:t>
      </w:r>
    </w:p>
    <w:p>
      <w:pPr>
        <w:numPr>
          <w:ilvl w:val="0"/>
          <w:numId w:val="6"/>
        </w:numPr>
        <w:spacing w:line="360" w:lineRule="auto"/>
        <w:rPr>
          <w:rFonts w:ascii="宋体" w:hAnsi="宋体"/>
          <w:sz w:val="24"/>
        </w:rPr>
      </w:pPr>
      <w:r>
        <w:rPr>
          <w:rFonts w:hint="eastAsia" w:ascii="宋体" w:hAnsi="宋体"/>
          <w:sz w:val="24"/>
        </w:rPr>
        <w:t>讨论服务改进措施</w:t>
      </w:r>
    </w:p>
    <w:p>
      <w:pPr>
        <w:numPr>
          <w:ilvl w:val="0"/>
          <w:numId w:val="6"/>
        </w:numPr>
        <w:spacing w:line="360" w:lineRule="auto"/>
        <w:rPr>
          <w:rFonts w:ascii="宋体" w:hAnsi="宋体"/>
          <w:sz w:val="24"/>
        </w:rPr>
      </w:pPr>
      <w:r>
        <w:rPr>
          <w:rFonts w:hint="eastAsia" w:ascii="宋体" w:hAnsi="宋体"/>
          <w:sz w:val="24"/>
        </w:rPr>
        <w:t>讨论、修订服务计划。</w:t>
      </w:r>
    </w:p>
    <w:p>
      <w:pPr>
        <w:pStyle w:val="3"/>
        <w:numPr>
          <w:ilvl w:val="0"/>
          <w:numId w:val="0"/>
        </w:numPr>
        <w:ind w:left="576" w:hanging="576"/>
      </w:pPr>
      <w:bookmarkStart w:id="47" w:name="_Toc99380899"/>
      <w:r>
        <w:rPr>
          <w:rFonts w:hint="eastAsia"/>
        </w:rPr>
        <w:t>3.</w:t>
      </w:r>
      <w:r>
        <w:t>2</w:t>
      </w:r>
      <w:r>
        <w:rPr>
          <w:rFonts w:hint="eastAsia"/>
        </w:rPr>
        <w:t>数据中心虚拟化平台运维服务</w:t>
      </w:r>
      <w:bookmarkEnd w:id="47"/>
    </w:p>
    <w:p>
      <w:pPr>
        <w:pStyle w:val="75"/>
        <w:keepNext/>
        <w:keepLines/>
        <w:widowControl w:val="0"/>
        <w:numPr>
          <w:ilvl w:val="1"/>
          <w:numId w:val="2"/>
        </w:numPr>
        <w:spacing w:before="260" w:after="260" w:line="416" w:lineRule="auto"/>
        <w:ind w:firstLine="0" w:firstLineChars="0"/>
        <w:jc w:val="both"/>
        <w:outlineLvl w:val="2"/>
        <w:rPr>
          <w:rFonts w:cs="Times New Roman"/>
          <w:b/>
          <w:vanish/>
          <w:color w:val="000000"/>
          <w:kern w:val="2"/>
          <w:sz w:val="30"/>
          <w:szCs w:val="30"/>
        </w:rPr>
      </w:pPr>
      <w:bookmarkStart w:id="48" w:name="_Toc99380035"/>
      <w:bookmarkEnd w:id="48"/>
      <w:bookmarkStart w:id="49" w:name="_Toc99381236"/>
      <w:bookmarkEnd w:id="49"/>
      <w:bookmarkStart w:id="50" w:name="_Toc99485187"/>
      <w:bookmarkEnd w:id="50"/>
      <w:bookmarkStart w:id="51" w:name="_Toc99380900"/>
      <w:bookmarkEnd w:id="51"/>
      <w:bookmarkStart w:id="52" w:name="_Toc99381181"/>
      <w:bookmarkEnd w:id="52"/>
      <w:bookmarkStart w:id="53" w:name="_Toc99380356"/>
      <w:bookmarkEnd w:id="53"/>
      <w:bookmarkStart w:id="54" w:name="_Toc99379827"/>
      <w:bookmarkEnd w:id="54"/>
      <w:bookmarkStart w:id="55" w:name="_Toc99485401"/>
      <w:bookmarkEnd w:id="55"/>
      <w:bookmarkStart w:id="56" w:name="_Toc99379943"/>
      <w:bookmarkEnd w:id="56"/>
      <w:bookmarkStart w:id="57" w:name="_Toc99379984"/>
      <w:bookmarkEnd w:id="57"/>
      <w:bookmarkStart w:id="58" w:name="_Toc99380901"/>
    </w:p>
    <w:p>
      <w:pPr>
        <w:pStyle w:val="4"/>
        <w:numPr>
          <w:ilvl w:val="0"/>
          <w:numId w:val="0"/>
        </w:numPr>
      </w:pPr>
      <w:r>
        <w:rPr>
          <w:rFonts w:hint="eastAsia"/>
        </w:rPr>
        <w:t>3.</w:t>
      </w:r>
      <w:r>
        <w:t>2</w:t>
      </w:r>
      <w:r>
        <w:rPr>
          <w:rFonts w:hint="eastAsia"/>
        </w:rPr>
        <w:t>.</w:t>
      </w:r>
      <w:r>
        <w:t>1</w:t>
      </w:r>
      <w:r>
        <w:rPr>
          <w:rFonts w:hint="eastAsia"/>
        </w:rPr>
        <w:t>数据中心虚拟化平台运维服务清单</w:t>
      </w:r>
      <w:bookmarkEnd w:id="58"/>
    </w:p>
    <w:p>
      <w:pPr>
        <w:spacing w:line="360" w:lineRule="auto"/>
        <w:ind w:firstLine="480" w:firstLineChars="200"/>
        <w:rPr>
          <w:sz w:val="24"/>
        </w:rPr>
      </w:pPr>
      <w:r>
        <w:rPr>
          <w:rFonts w:hint="eastAsia" w:ascii="宋体" w:hAnsi="宋体"/>
          <w:sz w:val="24"/>
        </w:rPr>
        <w:t>本项目的虚拟化平台维护范围包括福建中医药大学数据中心所部署安装的虚拟化平台</w:t>
      </w:r>
      <w:bookmarkStart w:id="59" w:name="_Toc99380902"/>
      <w:r>
        <w:rPr>
          <w:rFonts w:hint="eastAsia" w:ascii="宋体" w:hAnsi="宋体"/>
          <w:sz w:val="24"/>
        </w:rPr>
        <w:t>及平台上所有虚拟机。</w:t>
      </w:r>
    </w:p>
    <w:p>
      <w:pPr>
        <w:pStyle w:val="4"/>
        <w:numPr>
          <w:ilvl w:val="0"/>
          <w:numId w:val="0"/>
        </w:numPr>
      </w:pPr>
      <w:r>
        <w:rPr>
          <w:rFonts w:hint="eastAsia"/>
        </w:rPr>
        <w:t>3.</w:t>
      </w:r>
      <w:r>
        <w:t>2</w:t>
      </w:r>
      <w:r>
        <w:rPr>
          <w:rFonts w:hint="eastAsia"/>
        </w:rPr>
        <w:t>.</w:t>
      </w:r>
      <w:r>
        <w:t>2</w:t>
      </w:r>
      <w:r>
        <w:rPr>
          <w:rFonts w:hint="eastAsia"/>
        </w:rPr>
        <w:t>故障分析与应急响应服务</w:t>
      </w:r>
      <w:bookmarkEnd w:id="59"/>
    </w:p>
    <w:tbl>
      <w:tblPr>
        <w:tblStyle w:val="29"/>
        <w:tblW w:w="9506"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434"/>
        <w:gridCol w:w="5103"/>
        <w:gridCol w:w="39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446" w:type="dxa"/>
            <w:gridSpan w:val="3"/>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b/>
                <w:bCs/>
                <w:kern w:val="0"/>
                <w:sz w:val="24"/>
              </w:rPr>
              <w:t>故障分析与应急响应服务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1</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当应用系统或数据库系统出现故障时，无论是主机、存储、操作系统、数据库系统，当系统发生故障而不能确定故障原因时，提供故障分析和定位服务，在最短的时间内协助解决系统问题</w:t>
            </w:r>
          </w:p>
        </w:tc>
        <w:tc>
          <w:tcPr>
            <w:tcW w:w="3924"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致命故障（系统瘫痪）：7*24小时服务，1小时内响应及到达机房现场，2小时内故障判断并进行恢复；</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严重故障（系统部分瘫痪或性能明显受损）：7*24小时服务，2小时内响应及到达机房现场，4小时内故障判断并进行恢复；</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一般故障（非上述致命或严重故障）：正常工作时间5*9小时服务，4小时内响应及到达机房现场，24小时内故障判断并进行恢复。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2</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当业务系统运行过程中出现严重性能问题时，协助寻找性能瓶颈，提供优化建议</w:t>
            </w:r>
          </w:p>
        </w:tc>
        <w:tc>
          <w:tcPr>
            <w:tcW w:w="39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3</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当主生产数据库出现影响其运行的故障时，在有容灾系统的情况下，提供主备系统间的切换服务，以最快的时间恢复系统的正常运行</w:t>
            </w:r>
          </w:p>
        </w:tc>
        <w:tc>
          <w:tcPr>
            <w:tcW w:w="39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4</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在系统发生故障时，视故障需求恢复系统和数据库，在严重故障时，重新安装部署整个系统</w:t>
            </w:r>
          </w:p>
        </w:tc>
        <w:tc>
          <w:tcPr>
            <w:tcW w:w="39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bl>
    <w:p>
      <w:pPr>
        <w:pStyle w:val="4"/>
        <w:numPr>
          <w:ilvl w:val="0"/>
          <w:numId w:val="0"/>
        </w:numPr>
      </w:pPr>
      <w:bookmarkStart w:id="60" w:name="_Toc99380903"/>
      <w:r>
        <w:rPr>
          <w:rFonts w:hint="eastAsia"/>
        </w:rPr>
        <w:t>3.</w:t>
      </w:r>
      <w:r>
        <w:t>2</w:t>
      </w:r>
      <w:r>
        <w:rPr>
          <w:rFonts w:hint="eastAsia"/>
        </w:rPr>
        <w:t>.</w:t>
      </w:r>
      <w:r>
        <w:t>3</w:t>
      </w:r>
      <w:r>
        <w:rPr>
          <w:rFonts w:hint="eastAsia"/>
        </w:rPr>
        <w:t>定期巡检服务</w:t>
      </w:r>
      <w:bookmarkEnd w:id="60"/>
    </w:p>
    <w:p>
      <w:pPr>
        <w:pStyle w:val="85"/>
        <w:rPr>
          <w:rFonts w:ascii="宋体" w:hAnsi="宋体"/>
        </w:rPr>
      </w:pPr>
      <w:r>
        <w:rPr>
          <w:rFonts w:hint="eastAsia" w:ascii="宋体" w:hAnsi="宋体"/>
        </w:rPr>
        <w:t>定期巡检是整个维保服务重要的一个组成部分，有效的巡检关乎系统正常运行，及时的巡检可以有效降低系统的故障率，“防范于未然”。定期巡检主要是对系统检查是否正常运行，是否出现运行故障和隐患，以及对资源性能调配，是否存在安全漏洞等检测项。</w:t>
      </w:r>
    </w:p>
    <w:tbl>
      <w:tblPr>
        <w:tblStyle w:val="29"/>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86"/>
        <w:gridCol w:w="1244"/>
        <w:gridCol w:w="5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851" w:type="dxa"/>
            <w:shd w:val="clear" w:color="auto" w:fill="auto"/>
            <w:vAlign w:val="center"/>
          </w:tcPr>
          <w:p>
            <w:pPr>
              <w:spacing w:line="360" w:lineRule="auto"/>
              <w:jc w:val="center"/>
              <w:rPr>
                <w:rFonts w:ascii="宋体" w:hAnsi="宋体"/>
                <w:b/>
                <w:sz w:val="24"/>
              </w:rPr>
            </w:pPr>
            <w:r>
              <w:rPr>
                <w:rFonts w:hint="eastAsia" w:ascii="宋体" w:hAnsi="宋体"/>
                <w:b/>
                <w:sz w:val="24"/>
              </w:rPr>
              <w:t>序号</w:t>
            </w:r>
          </w:p>
        </w:tc>
        <w:tc>
          <w:tcPr>
            <w:tcW w:w="1186" w:type="dxa"/>
            <w:shd w:val="clear" w:color="auto" w:fill="auto"/>
            <w:vAlign w:val="center"/>
          </w:tcPr>
          <w:p>
            <w:pPr>
              <w:spacing w:line="360" w:lineRule="auto"/>
              <w:jc w:val="center"/>
              <w:rPr>
                <w:rFonts w:ascii="宋体" w:hAnsi="宋体"/>
                <w:b/>
                <w:sz w:val="24"/>
              </w:rPr>
            </w:pPr>
            <w:r>
              <w:rPr>
                <w:rFonts w:hint="eastAsia" w:ascii="宋体" w:hAnsi="宋体"/>
                <w:b/>
                <w:sz w:val="24"/>
              </w:rPr>
              <w:t>服务项目</w:t>
            </w:r>
          </w:p>
        </w:tc>
        <w:tc>
          <w:tcPr>
            <w:tcW w:w="1244" w:type="dxa"/>
            <w:shd w:val="clear" w:color="auto" w:fill="auto"/>
            <w:vAlign w:val="center"/>
          </w:tcPr>
          <w:p>
            <w:pPr>
              <w:spacing w:line="360" w:lineRule="auto"/>
              <w:jc w:val="center"/>
              <w:rPr>
                <w:rFonts w:ascii="宋体" w:hAnsi="宋体"/>
                <w:b/>
                <w:sz w:val="24"/>
              </w:rPr>
            </w:pPr>
            <w:r>
              <w:rPr>
                <w:rFonts w:hint="eastAsia" w:ascii="宋体" w:hAnsi="宋体"/>
                <w:b/>
                <w:sz w:val="24"/>
              </w:rPr>
              <w:t>服务子项</w:t>
            </w:r>
          </w:p>
        </w:tc>
        <w:tc>
          <w:tcPr>
            <w:tcW w:w="5650" w:type="dxa"/>
            <w:shd w:val="clear" w:color="auto" w:fill="auto"/>
            <w:vAlign w:val="center"/>
          </w:tcPr>
          <w:p>
            <w:pPr>
              <w:spacing w:line="360" w:lineRule="auto"/>
              <w:jc w:val="center"/>
              <w:rPr>
                <w:rFonts w:ascii="宋体" w:hAnsi="宋体"/>
                <w:b/>
                <w:sz w:val="24"/>
              </w:rPr>
            </w:pPr>
            <w:r>
              <w:rPr>
                <w:rFonts w:hint="eastAsia" w:ascii="宋体" w:hAnsi="宋体"/>
                <w:b/>
                <w:sz w:val="24"/>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851" w:type="dxa"/>
            <w:shd w:val="clear" w:color="auto" w:fill="auto"/>
          </w:tcPr>
          <w:p>
            <w:pPr>
              <w:spacing w:line="360" w:lineRule="auto"/>
              <w:jc w:val="center"/>
              <w:rPr>
                <w:rFonts w:ascii="宋体" w:hAnsi="宋体"/>
                <w:sz w:val="24"/>
              </w:rPr>
            </w:pPr>
            <w:r>
              <w:rPr>
                <w:rFonts w:hint="eastAsia" w:ascii="宋体" w:hAnsi="宋体"/>
                <w:sz w:val="24"/>
              </w:rPr>
              <w:t>1</w:t>
            </w:r>
          </w:p>
        </w:tc>
        <w:tc>
          <w:tcPr>
            <w:tcW w:w="1186" w:type="dxa"/>
            <w:vMerge w:val="restart"/>
            <w:shd w:val="clear" w:color="auto" w:fill="auto"/>
          </w:tcPr>
          <w:p>
            <w:pPr>
              <w:spacing w:line="360" w:lineRule="auto"/>
              <w:rPr>
                <w:rFonts w:ascii="宋体" w:hAnsi="宋体"/>
                <w:sz w:val="24"/>
              </w:rPr>
            </w:pPr>
            <w:r>
              <w:rPr>
                <w:rFonts w:ascii="宋体" w:hAnsi="宋体"/>
                <w:sz w:val="24"/>
              </w:rPr>
              <w:t>巡检服务</w:t>
            </w:r>
          </w:p>
        </w:tc>
        <w:tc>
          <w:tcPr>
            <w:tcW w:w="1244" w:type="dxa"/>
            <w:shd w:val="clear" w:color="auto" w:fill="auto"/>
          </w:tcPr>
          <w:p>
            <w:pPr>
              <w:spacing w:line="360" w:lineRule="auto"/>
              <w:rPr>
                <w:rFonts w:ascii="宋体" w:hAnsi="宋体" w:cs="宋体"/>
                <w:sz w:val="24"/>
              </w:rPr>
            </w:pPr>
            <w:r>
              <w:rPr>
                <w:rFonts w:hint="eastAsia" w:ascii="宋体" w:hAnsi="宋体"/>
                <w:sz w:val="24"/>
              </w:rPr>
              <w:t>月巡检</w:t>
            </w:r>
          </w:p>
        </w:tc>
        <w:tc>
          <w:tcPr>
            <w:tcW w:w="5650" w:type="dxa"/>
            <w:shd w:val="clear" w:color="auto" w:fill="auto"/>
          </w:tcPr>
          <w:p>
            <w:pPr>
              <w:spacing w:line="360" w:lineRule="auto"/>
              <w:rPr>
                <w:rFonts w:ascii="宋体" w:hAnsi="宋体" w:cs="宋体"/>
                <w:sz w:val="24"/>
              </w:rPr>
            </w:pPr>
            <w:r>
              <w:rPr>
                <w:rFonts w:hint="eastAsia" w:ascii="宋体" w:hAnsi="宋体"/>
                <w:sz w:val="24"/>
              </w:rPr>
              <w:t>根据虚拟化平台，每月进行预防性的状态巡检，并提供规范的检查报告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 w:hRule="atLeast"/>
        </w:trPr>
        <w:tc>
          <w:tcPr>
            <w:tcW w:w="851" w:type="dxa"/>
            <w:shd w:val="clear" w:color="auto" w:fill="auto"/>
          </w:tcPr>
          <w:p>
            <w:pPr>
              <w:spacing w:line="360" w:lineRule="auto"/>
              <w:jc w:val="center"/>
              <w:rPr>
                <w:rFonts w:ascii="宋体" w:hAnsi="宋体"/>
                <w:sz w:val="24"/>
              </w:rPr>
            </w:pPr>
            <w:r>
              <w:rPr>
                <w:rFonts w:hint="eastAsia" w:ascii="宋体" w:hAnsi="宋体"/>
                <w:sz w:val="24"/>
              </w:rPr>
              <w:t>2</w:t>
            </w:r>
          </w:p>
        </w:tc>
        <w:tc>
          <w:tcPr>
            <w:tcW w:w="1186" w:type="dxa"/>
            <w:vMerge w:val="continue"/>
            <w:shd w:val="clear" w:color="auto" w:fill="auto"/>
          </w:tcPr>
          <w:p>
            <w:pPr>
              <w:spacing w:line="360" w:lineRule="auto"/>
              <w:rPr>
                <w:rFonts w:ascii="宋体" w:hAnsi="宋体"/>
                <w:sz w:val="24"/>
              </w:rPr>
            </w:pPr>
          </w:p>
        </w:tc>
        <w:tc>
          <w:tcPr>
            <w:tcW w:w="1244" w:type="dxa"/>
            <w:shd w:val="clear" w:color="auto" w:fill="auto"/>
          </w:tcPr>
          <w:p>
            <w:pPr>
              <w:spacing w:line="360" w:lineRule="auto"/>
              <w:rPr>
                <w:rFonts w:ascii="宋体" w:hAnsi="宋体" w:cs="宋体"/>
                <w:sz w:val="24"/>
              </w:rPr>
            </w:pPr>
            <w:r>
              <w:rPr>
                <w:rFonts w:hint="eastAsia" w:ascii="宋体" w:hAnsi="宋体"/>
                <w:sz w:val="24"/>
              </w:rPr>
              <w:t>二线月度巡检</w:t>
            </w:r>
          </w:p>
        </w:tc>
        <w:tc>
          <w:tcPr>
            <w:tcW w:w="5650" w:type="dxa"/>
            <w:shd w:val="clear" w:color="auto" w:fill="auto"/>
          </w:tcPr>
          <w:p>
            <w:pPr>
              <w:spacing w:line="360" w:lineRule="auto"/>
              <w:rPr>
                <w:rFonts w:ascii="宋体" w:hAnsi="宋体" w:cs="宋体"/>
                <w:sz w:val="24"/>
              </w:rPr>
            </w:pPr>
            <w:r>
              <w:rPr>
                <w:rFonts w:hint="eastAsia" w:ascii="宋体" w:hAnsi="宋体"/>
                <w:sz w:val="24"/>
              </w:rPr>
              <w:t>主要针对虚拟化平台，每月由二线工程师进行专家级的月度巡检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4" w:hRule="atLeast"/>
        </w:trPr>
        <w:tc>
          <w:tcPr>
            <w:tcW w:w="851" w:type="dxa"/>
            <w:shd w:val="clear" w:color="auto" w:fill="auto"/>
          </w:tcPr>
          <w:p>
            <w:pPr>
              <w:spacing w:line="360" w:lineRule="auto"/>
              <w:jc w:val="center"/>
              <w:rPr>
                <w:rFonts w:ascii="宋体" w:hAnsi="宋体"/>
                <w:sz w:val="24"/>
              </w:rPr>
            </w:pPr>
            <w:r>
              <w:rPr>
                <w:rFonts w:hint="eastAsia" w:ascii="宋体" w:hAnsi="宋体"/>
                <w:sz w:val="24"/>
              </w:rPr>
              <w:t>3</w:t>
            </w:r>
          </w:p>
        </w:tc>
        <w:tc>
          <w:tcPr>
            <w:tcW w:w="1186" w:type="dxa"/>
            <w:vMerge w:val="continue"/>
            <w:shd w:val="clear" w:color="auto" w:fill="auto"/>
          </w:tcPr>
          <w:p>
            <w:pPr>
              <w:spacing w:line="360" w:lineRule="auto"/>
              <w:rPr>
                <w:rFonts w:ascii="宋体" w:hAnsi="宋体"/>
                <w:sz w:val="24"/>
              </w:rPr>
            </w:pPr>
          </w:p>
        </w:tc>
        <w:tc>
          <w:tcPr>
            <w:tcW w:w="1244" w:type="dxa"/>
            <w:shd w:val="clear" w:color="auto" w:fill="auto"/>
          </w:tcPr>
          <w:p>
            <w:pPr>
              <w:spacing w:line="360" w:lineRule="auto"/>
              <w:rPr>
                <w:rFonts w:ascii="宋体" w:hAnsi="宋体"/>
                <w:sz w:val="24"/>
              </w:rPr>
            </w:pPr>
            <w:r>
              <w:rPr>
                <w:rFonts w:hint="eastAsia" w:ascii="宋体" w:hAnsi="宋体"/>
                <w:sz w:val="24"/>
              </w:rPr>
              <w:t>常规作业</w:t>
            </w:r>
          </w:p>
        </w:tc>
        <w:tc>
          <w:tcPr>
            <w:tcW w:w="5650" w:type="dxa"/>
            <w:shd w:val="clear" w:color="auto" w:fill="auto"/>
          </w:tcPr>
          <w:p>
            <w:pPr>
              <w:spacing w:line="360" w:lineRule="auto"/>
              <w:rPr>
                <w:rFonts w:ascii="宋体" w:hAnsi="宋体"/>
                <w:sz w:val="24"/>
              </w:rPr>
            </w:pPr>
            <w:r>
              <w:rPr>
                <w:rFonts w:hint="eastAsia" w:ascii="宋体" w:hAnsi="宋体"/>
                <w:sz w:val="24"/>
              </w:rPr>
              <w:t>对虚拟化平台进行维护，包括巡检等</w:t>
            </w:r>
          </w:p>
        </w:tc>
      </w:tr>
    </w:tbl>
    <w:p>
      <w:pPr>
        <w:pStyle w:val="85"/>
        <w:rPr>
          <w:rFonts w:ascii="宋体" w:hAnsi="宋体"/>
        </w:rPr>
      </w:pPr>
      <w:r>
        <w:rPr>
          <w:rFonts w:hint="eastAsia" w:ascii="宋体" w:hAnsi="宋体"/>
        </w:rPr>
        <w:t>计划维护期内为提供不限次数的服务健康检查，基本的服务期内按月度进行检查，每月为一个检查周期；在每次的巡检结束后提供巡检报告，对于巡检发现的异常进行分析和排查跟踪。</w:t>
      </w:r>
    </w:p>
    <w:p>
      <w:pPr>
        <w:pStyle w:val="85"/>
        <w:rPr>
          <w:rFonts w:ascii="宋体" w:hAnsi="宋体"/>
        </w:rPr>
      </w:pPr>
      <w:r>
        <w:rPr>
          <w:rFonts w:hint="eastAsia" w:ascii="宋体" w:hAnsi="宋体"/>
        </w:rPr>
        <w:t>巡检范围包括：福建中医药大学数据中心虚拟化平台。所提供的巡检报告虚拟化平台的健康状况、空间利用状况、错误日志情况、异常日志情况、CPU资源使用情况检查、IO资源使用情况检查、内存资源使用情况检查、网络资源的使用情况检查等。</w:t>
      </w:r>
    </w:p>
    <w:p>
      <w:pPr>
        <w:pStyle w:val="85"/>
        <w:ind w:firstLine="482"/>
        <w:rPr>
          <w:rFonts w:ascii="宋体" w:hAnsi="宋体"/>
          <w:b/>
        </w:rPr>
      </w:pPr>
      <w:r>
        <w:rPr>
          <w:rFonts w:hint="eastAsia" w:ascii="宋体" w:hAnsi="宋体"/>
          <w:b/>
        </w:rPr>
        <w:t>1、巡检时间</w:t>
      </w:r>
    </w:p>
    <w:p>
      <w:pPr>
        <w:pStyle w:val="85"/>
        <w:rPr>
          <w:rFonts w:ascii="宋体" w:hAnsi="宋体"/>
        </w:rPr>
      </w:pPr>
      <w:r>
        <w:rPr>
          <w:rFonts w:hint="eastAsia" w:ascii="宋体" w:hAnsi="宋体"/>
        </w:rPr>
        <w:t>每月最后一周或遇国庆、春节长假之前一周，进行虚拟化平台系统现场巡检及预防性维护，检查虚拟化平台运行状况。根据虚拟化平台的实际情况，对虚拟化平台、物理主机进行预防性检查维护，确保系统和相关外设的稳定运行。在巡检结束后3日内向用户提交《巡检报告》。</w:t>
      </w:r>
    </w:p>
    <w:p>
      <w:pPr>
        <w:pStyle w:val="85"/>
        <w:ind w:firstLine="482"/>
        <w:rPr>
          <w:rFonts w:ascii="宋体" w:hAnsi="宋体"/>
          <w:b/>
        </w:rPr>
      </w:pPr>
      <w:r>
        <w:rPr>
          <w:rFonts w:hint="eastAsia" w:ascii="宋体" w:hAnsi="宋体"/>
          <w:b/>
        </w:rPr>
        <w:t>2、巡检内容</w:t>
      </w:r>
    </w:p>
    <w:p>
      <w:pPr>
        <w:pStyle w:val="85"/>
        <w:rPr>
          <w:rFonts w:ascii="宋体" w:hAnsi="宋体"/>
        </w:rPr>
      </w:pPr>
      <w:r>
        <w:rPr>
          <w:rFonts w:hint="eastAsia" w:ascii="宋体" w:hAnsi="宋体"/>
        </w:rPr>
        <w:t>1）物理主机</w:t>
      </w:r>
    </w:p>
    <w:p>
      <w:pPr>
        <w:pStyle w:val="85"/>
        <w:rPr>
          <w:rFonts w:ascii="宋体" w:hAnsi="宋体"/>
        </w:rPr>
      </w:pPr>
      <w:r>
        <w:rPr>
          <w:rFonts w:hint="eastAsia" w:ascii="宋体" w:hAnsi="宋体"/>
        </w:rPr>
        <w:t>检查设备电源情况、检查主要内置硬件，设备和外围设备运行情况、系统备份、检查系统硬件指示灯情况、硬件检测诊断、检查硬件操作系统及云平台虚拟化服务器系统错误报告(Error Log) 以及其他的记录文件、检查文件系统、查看卷组信息、检查内存交换区、磁盘阵列检查、系统安全性检查、网络设置检测、对系统存在的漏洞能及时提出并协助维护技术人员完善、检查错误记录及历史记录、易损易耗部件的检查与建议、使用记录检查、数据备份情况、针对检查结果提供报告、客户要求的其他一般技术支持。</w:t>
      </w:r>
    </w:p>
    <w:tbl>
      <w:tblPr>
        <w:tblStyle w:val="29"/>
        <w:tblW w:w="8760" w:type="dxa"/>
        <w:tblInd w:w="-5" w:type="dxa"/>
        <w:tblLayout w:type="fixed"/>
        <w:tblCellMar>
          <w:top w:w="0" w:type="dxa"/>
          <w:left w:w="108" w:type="dxa"/>
          <w:bottom w:w="0" w:type="dxa"/>
          <w:right w:w="108" w:type="dxa"/>
        </w:tblCellMar>
      </w:tblPr>
      <w:tblGrid>
        <w:gridCol w:w="1247"/>
        <w:gridCol w:w="1701"/>
        <w:gridCol w:w="5812"/>
      </w:tblGrid>
      <w:tr>
        <w:tblPrEx>
          <w:tblCellMar>
            <w:top w:w="0" w:type="dxa"/>
            <w:left w:w="108" w:type="dxa"/>
            <w:bottom w:w="0" w:type="dxa"/>
            <w:right w:w="108" w:type="dxa"/>
          </w:tblCellMar>
        </w:tblPrEx>
        <w:tc>
          <w:tcPr>
            <w:tcW w:w="1247"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维护服务</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内容</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具体描述</w:t>
            </w:r>
          </w:p>
        </w:tc>
      </w:tr>
      <w:tr>
        <w:tblPrEx>
          <w:tblCellMar>
            <w:top w:w="0" w:type="dxa"/>
            <w:left w:w="108" w:type="dxa"/>
            <w:bottom w:w="0" w:type="dxa"/>
            <w:right w:w="108" w:type="dxa"/>
          </w:tblCellMar>
        </w:tblPrEx>
        <w:trPr>
          <w:trHeight w:val="1622" w:hRule="atLeast"/>
        </w:trPr>
        <w:tc>
          <w:tcPr>
            <w:tcW w:w="1247" w:type="dxa"/>
            <w:tcBorders>
              <w:top w:val="single" w:color="000000" w:sz="4" w:space="0"/>
              <w:left w:val="single" w:color="000000" w:sz="4" w:space="0"/>
              <w:bottom w:val="single" w:color="auto" w:sz="4" w:space="0"/>
            </w:tcBorders>
            <w:vAlign w:val="center"/>
          </w:tcPr>
          <w:p>
            <w:pPr>
              <w:pStyle w:val="85"/>
              <w:ind w:firstLine="0" w:firstLineChars="0"/>
              <w:rPr>
                <w:rFonts w:ascii="宋体" w:hAnsi="宋体"/>
              </w:rPr>
            </w:pPr>
            <w:r>
              <w:rPr>
                <w:rFonts w:hint="eastAsia" w:ascii="宋体" w:hAnsi="宋体"/>
              </w:rPr>
              <w:t>系统硬件日常维护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硬件</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检查设备系统前面操作板LCD显示，如有系统错误代码显示，尽快处理；检查机器后面的电源风扇、各设备的电源指示灯是否正常；检查各设备、控制卡的状态指示灯是否正常；设备的电缆连接是否正常；</w:t>
            </w:r>
          </w:p>
        </w:tc>
      </w:tr>
      <w:tr>
        <w:tblPrEx>
          <w:tblCellMar>
            <w:top w:w="0" w:type="dxa"/>
            <w:left w:w="108" w:type="dxa"/>
            <w:bottom w:w="0" w:type="dxa"/>
            <w:right w:w="108" w:type="dxa"/>
          </w:tblCellMar>
        </w:tblPrEx>
        <w:trPr>
          <w:trHeight w:val="1182" w:hRule="atLeast"/>
        </w:trPr>
        <w:tc>
          <w:tcPr>
            <w:tcW w:w="1247" w:type="dxa"/>
            <w:vMerge w:val="restart"/>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系统软件日常维护</w:t>
            </w: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操作系统</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系统错误日志；文件系统检查、清理；分页空间检查；设备状态检查；网络检查；磁盘阵列检查；与设备相连的外部设备的检查；系统运行性能检查和高级检查；</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补丁的安装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如果有新补丁发布，根据用户需要，每半年提供一次累积补丁程序，根据系统运行情况与用户商讨后进行补丁程序安装。针对特别的授权软件在应用中的某个问题，随时提供已发布的修正性补丁。</w:t>
            </w:r>
          </w:p>
        </w:tc>
      </w:tr>
      <w:tr>
        <w:tblPrEx>
          <w:tblCellMar>
            <w:top w:w="0" w:type="dxa"/>
            <w:left w:w="108" w:type="dxa"/>
            <w:bottom w:w="0" w:type="dxa"/>
            <w:right w:w="108" w:type="dxa"/>
          </w:tblCellMar>
        </w:tblPrEx>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操作系统版本升级安装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根据用户需求对操作系统版本升级制定计划；安装操作系统；进行测试及性能调优。</w:t>
            </w:r>
          </w:p>
        </w:tc>
      </w:tr>
      <w:tr>
        <w:tblPrEx>
          <w:tblCellMar>
            <w:top w:w="0" w:type="dxa"/>
            <w:left w:w="108" w:type="dxa"/>
            <w:bottom w:w="0" w:type="dxa"/>
            <w:right w:w="108" w:type="dxa"/>
          </w:tblCellMar>
        </w:tblPrEx>
        <w:trPr>
          <w:trHeight w:val="67" w:hRule="atLeast"/>
        </w:trPr>
        <w:tc>
          <w:tcPr>
            <w:tcW w:w="1247" w:type="dxa"/>
            <w:vMerge w:val="continue"/>
            <w:tcBorders>
              <w:top w:val="single" w:color="000000" w:sz="4" w:space="0"/>
              <w:left w:val="single" w:color="000000" w:sz="4" w:space="0"/>
              <w:bottom w:val="single" w:color="000000" w:sz="4" w:space="0"/>
            </w:tcBorders>
            <w:vAlign w:val="center"/>
          </w:tcPr>
          <w:p>
            <w:pPr>
              <w:pStyle w:val="85"/>
              <w:rPr>
                <w:rFonts w:ascii="宋体" w:hAnsi="宋体"/>
              </w:rPr>
            </w:pPr>
          </w:p>
        </w:tc>
        <w:tc>
          <w:tcPr>
            <w:tcW w:w="1701" w:type="dxa"/>
            <w:tcBorders>
              <w:top w:val="single" w:color="000000" w:sz="4" w:space="0"/>
              <w:left w:val="single" w:color="000000" w:sz="4" w:space="0"/>
              <w:bottom w:val="single" w:color="000000" w:sz="4" w:space="0"/>
            </w:tcBorders>
            <w:vAlign w:val="center"/>
          </w:tcPr>
          <w:p>
            <w:pPr>
              <w:pStyle w:val="85"/>
              <w:ind w:firstLine="0" w:firstLineChars="0"/>
              <w:rPr>
                <w:rFonts w:ascii="宋体" w:hAnsi="宋体"/>
              </w:rPr>
            </w:pPr>
            <w:r>
              <w:rPr>
                <w:rFonts w:hint="eastAsia" w:ascii="宋体" w:hAnsi="宋体"/>
              </w:rPr>
              <w:t>集群管理软件的配置和安装</w:t>
            </w:r>
          </w:p>
        </w:tc>
        <w:tc>
          <w:tcPr>
            <w:tcW w:w="5812" w:type="dxa"/>
            <w:tcBorders>
              <w:top w:val="single" w:color="000000" w:sz="4" w:space="0"/>
              <w:left w:val="single" w:color="000000" w:sz="4" w:space="0"/>
              <w:bottom w:val="single" w:color="000000" w:sz="4" w:space="0"/>
              <w:right w:val="single" w:color="000000" w:sz="4" w:space="0"/>
            </w:tcBorders>
            <w:vAlign w:val="center"/>
          </w:tcPr>
          <w:p>
            <w:pPr>
              <w:pStyle w:val="85"/>
              <w:ind w:firstLine="0" w:firstLineChars="0"/>
              <w:rPr>
                <w:rFonts w:ascii="宋体" w:hAnsi="宋体"/>
              </w:rPr>
            </w:pPr>
            <w:r>
              <w:rPr>
                <w:rFonts w:hint="eastAsia" w:ascii="宋体" w:hAnsi="宋体"/>
              </w:rPr>
              <w:t>安装高可用集群管理软件、配置网络、心跳线；进行测试及性能调优。</w:t>
            </w:r>
          </w:p>
        </w:tc>
      </w:tr>
    </w:tbl>
    <w:p>
      <w:pPr>
        <w:pStyle w:val="85"/>
        <w:rPr>
          <w:rFonts w:ascii="宋体" w:hAnsi="宋体"/>
        </w:rPr>
      </w:pPr>
      <w:r>
        <w:rPr>
          <w:rFonts w:hint="eastAsia" w:ascii="宋体" w:hAnsi="宋体"/>
        </w:rPr>
        <w:t>2）维护服务总结</w:t>
      </w:r>
    </w:p>
    <w:p>
      <w:pPr>
        <w:pStyle w:val="85"/>
        <w:rPr>
          <w:rFonts w:ascii="宋体" w:hAnsi="宋体"/>
        </w:rPr>
      </w:pPr>
      <w:r>
        <w:rPr>
          <w:rFonts w:hint="eastAsia" w:ascii="宋体" w:hAnsi="宋体"/>
        </w:rPr>
        <w:t>为提高服务的质量，每季度召开一次服务例会，对前一阶段的服务情况进行回顾和总结，并提出改进建议。服务例会具体内容：</w:t>
      </w:r>
    </w:p>
    <w:p>
      <w:pPr>
        <w:pStyle w:val="85"/>
        <w:rPr>
          <w:rFonts w:ascii="宋体" w:hAnsi="宋体"/>
        </w:rPr>
      </w:pPr>
      <w:r>
        <w:rPr>
          <w:rFonts w:hint="eastAsia" w:ascii="宋体" w:hAnsi="宋体"/>
        </w:rPr>
        <w:t>前一阶段所执行服务进行介绍，提交阶段性服务情况汇总报告。报告内容应包括该阶段所发生全部服务内容的执行及客户满意度情况；提供阶段性服务情况汇总报告进行确认；阶段服务执行情况及服务质量的意见及建议；制定下一阶段的客户服务计划；讨论本阶段服务过程中的重大事件对系统运行的影响及应对措施，如系统升级、搬迁、系统管理人员变动、管理流程及制度变更等；针对本阶段服务过程中的重大技术问题，探讨预防措施及系统优化措施，寻求问题解决更为合理、有效的途径，改进针对此类问题的服务流程；介绍该阶段所推出的补丁程序信息、软件版本发布信息。</w:t>
      </w:r>
    </w:p>
    <w:p>
      <w:pPr>
        <w:pStyle w:val="4"/>
        <w:numPr>
          <w:ilvl w:val="0"/>
          <w:numId w:val="0"/>
        </w:numPr>
      </w:pPr>
      <w:bookmarkStart w:id="61" w:name="_Toc99380904"/>
      <w:r>
        <w:rPr>
          <w:rFonts w:hint="eastAsia"/>
        </w:rPr>
        <w:t>3.</w:t>
      </w:r>
      <w:r>
        <w:t>2</w:t>
      </w:r>
      <w:r>
        <w:rPr>
          <w:rFonts w:hint="eastAsia"/>
        </w:rPr>
        <w:t>.</w:t>
      </w:r>
      <w:r>
        <w:t>4</w:t>
      </w:r>
      <w:r>
        <w:rPr>
          <w:rFonts w:hint="eastAsia"/>
        </w:rPr>
        <w:t>运维服务报告</w:t>
      </w:r>
      <w:bookmarkEnd w:id="61"/>
    </w:p>
    <w:p>
      <w:pPr>
        <w:spacing w:line="360" w:lineRule="auto"/>
        <w:ind w:firstLine="480" w:firstLineChars="200"/>
        <w:rPr>
          <w:rFonts w:ascii="宋体" w:hAnsi="宋体"/>
          <w:sz w:val="24"/>
        </w:rPr>
      </w:pPr>
      <w:r>
        <w:rPr>
          <w:rFonts w:hint="eastAsia" w:ascii="宋体" w:hAnsi="宋体"/>
          <w:sz w:val="24"/>
        </w:rPr>
        <w:t>服务支持中心将福建中医药大学数据中心的服务申请</w:t>
      </w:r>
      <w:r>
        <w:rPr>
          <w:rFonts w:hint="eastAsia" w:ascii="宋体" w:hAnsi="宋体"/>
          <w:sz w:val="24"/>
          <w:lang w:val="en-US" w:eastAsia="zh-CN"/>
        </w:rPr>
        <w:t>进行</w:t>
      </w:r>
      <w:r>
        <w:rPr>
          <w:rFonts w:hint="eastAsia" w:ascii="宋体" w:hAnsi="宋体"/>
          <w:sz w:val="24"/>
        </w:rPr>
        <w:t>记录，现场工程师</w:t>
      </w:r>
      <w:r>
        <w:rPr>
          <w:rFonts w:hint="eastAsia" w:ascii="宋体" w:hAnsi="宋体"/>
          <w:sz w:val="24"/>
          <w:lang w:val="en-US" w:eastAsia="zh-CN"/>
        </w:rPr>
        <w:t>完成</w:t>
      </w:r>
      <w:r>
        <w:rPr>
          <w:rFonts w:hint="eastAsia" w:ascii="宋体" w:hAnsi="宋体"/>
          <w:sz w:val="24"/>
        </w:rPr>
        <w:t>现场服务后，请福建中医药大学的系统管理员或技术支持专家将在一份“现场服务记录”上签字，作为福建中医药大学对现场服务的确认，此文件将被保存。所有服务的请求和问题处理都可查询、分类，同时可帮助工程师发现潜在问题。所有服务的实施也均有服务报告作为交付物。</w:t>
      </w:r>
    </w:p>
    <w:p>
      <w:pPr>
        <w:pStyle w:val="4"/>
        <w:numPr>
          <w:ilvl w:val="0"/>
          <w:numId w:val="0"/>
        </w:numPr>
      </w:pPr>
      <w:bookmarkStart w:id="62" w:name="_Toc99380905"/>
      <w:r>
        <w:rPr>
          <w:rFonts w:hint="eastAsia"/>
        </w:rPr>
        <w:t>3.</w:t>
      </w:r>
      <w:r>
        <w:t>2</w:t>
      </w:r>
      <w:r>
        <w:rPr>
          <w:rFonts w:hint="eastAsia"/>
        </w:rPr>
        <w:t>.</w:t>
      </w:r>
      <w:r>
        <w:t>5</w:t>
      </w:r>
      <w:r>
        <w:rPr>
          <w:rFonts w:hint="eastAsia"/>
        </w:rPr>
        <w:t>月度服务回顾</w:t>
      </w:r>
      <w:bookmarkEnd w:id="62"/>
    </w:p>
    <w:p>
      <w:pPr>
        <w:spacing w:line="360" w:lineRule="auto"/>
        <w:ind w:firstLine="480" w:firstLineChars="200"/>
        <w:rPr>
          <w:rFonts w:ascii="宋体" w:hAnsi="宋体"/>
          <w:sz w:val="24"/>
        </w:rPr>
      </w:pPr>
      <w:r>
        <w:rPr>
          <w:rFonts w:hint="eastAsia" w:ascii="宋体" w:hAnsi="宋体"/>
          <w:sz w:val="24"/>
        </w:rPr>
        <w:t>客户服务经理每月会安排与福建中医药大学一起召开系统运行和服务情况定期总结回顾会议。</w:t>
      </w:r>
    </w:p>
    <w:p>
      <w:pPr>
        <w:numPr>
          <w:ilvl w:val="0"/>
          <w:numId w:val="6"/>
        </w:numPr>
        <w:spacing w:line="360" w:lineRule="auto"/>
        <w:rPr>
          <w:rFonts w:ascii="宋体" w:hAnsi="宋体"/>
          <w:sz w:val="24"/>
        </w:rPr>
      </w:pPr>
      <w:r>
        <w:rPr>
          <w:rFonts w:hint="eastAsia" w:ascii="宋体" w:hAnsi="宋体"/>
          <w:sz w:val="24"/>
        </w:rPr>
        <w:t>总结上个月度服务实施的情况</w:t>
      </w:r>
    </w:p>
    <w:p>
      <w:pPr>
        <w:numPr>
          <w:ilvl w:val="0"/>
          <w:numId w:val="6"/>
        </w:numPr>
        <w:spacing w:line="360" w:lineRule="auto"/>
        <w:rPr>
          <w:rFonts w:ascii="宋体" w:hAnsi="宋体"/>
          <w:sz w:val="24"/>
        </w:rPr>
      </w:pPr>
      <w:r>
        <w:rPr>
          <w:rFonts w:hint="eastAsia" w:ascii="宋体" w:hAnsi="宋体"/>
          <w:sz w:val="24"/>
        </w:rPr>
        <w:t>回顾升级问题/重要问题的处理过程</w:t>
      </w:r>
    </w:p>
    <w:p>
      <w:pPr>
        <w:numPr>
          <w:ilvl w:val="0"/>
          <w:numId w:val="6"/>
        </w:numPr>
        <w:spacing w:line="360" w:lineRule="auto"/>
        <w:rPr>
          <w:rFonts w:ascii="宋体" w:hAnsi="宋体"/>
          <w:sz w:val="24"/>
        </w:rPr>
      </w:pPr>
      <w:r>
        <w:rPr>
          <w:rFonts w:hint="eastAsia" w:ascii="宋体" w:hAnsi="宋体"/>
          <w:sz w:val="24"/>
        </w:rPr>
        <w:t>听取福建中医药大学对服务的反馈意见和服务需求</w:t>
      </w:r>
    </w:p>
    <w:p>
      <w:pPr>
        <w:numPr>
          <w:ilvl w:val="0"/>
          <w:numId w:val="6"/>
        </w:numPr>
        <w:spacing w:line="360" w:lineRule="auto"/>
        <w:rPr>
          <w:rFonts w:ascii="宋体" w:hAnsi="宋体"/>
          <w:sz w:val="24"/>
        </w:rPr>
      </w:pPr>
      <w:r>
        <w:rPr>
          <w:rFonts w:hint="eastAsia" w:ascii="宋体" w:hAnsi="宋体"/>
          <w:sz w:val="24"/>
        </w:rPr>
        <w:t>讨论服务改进措施</w:t>
      </w:r>
    </w:p>
    <w:p>
      <w:pPr>
        <w:numPr>
          <w:ilvl w:val="0"/>
          <w:numId w:val="6"/>
        </w:numPr>
        <w:spacing w:line="360" w:lineRule="auto"/>
        <w:rPr>
          <w:rFonts w:ascii="宋体" w:hAnsi="宋体"/>
          <w:sz w:val="24"/>
        </w:rPr>
      </w:pPr>
      <w:r>
        <w:rPr>
          <w:rFonts w:hint="eastAsia" w:ascii="宋体" w:hAnsi="宋体"/>
          <w:sz w:val="24"/>
        </w:rPr>
        <w:t>讨论、修订服务计划。</w:t>
      </w:r>
    </w:p>
    <w:p>
      <w:pPr>
        <w:pStyle w:val="3"/>
        <w:numPr>
          <w:ilvl w:val="0"/>
          <w:numId w:val="0"/>
        </w:numPr>
        <w:ind w:left="576" w:hanging="576"/>
      </w:pPr>
      <w:bookmarkStart w:id="63" w:name="_Toc99380906"/>
      <w:r>
        <w:rPr>
          <w:rFonts w:hint="eastAsia"/>
        </w:rPr>
        <w:t>3.</w:t>
      </w:r>
      <w:r>
        <w:t>3</w:t>
      </w:r>
      <w:r>
        <w:rPr>
          <w:rFonts w:hint="eastAsia"/>
        </w:rPr>
        <w:t>数据中心数据库运维服务</w:t>
      </w:r>
      <w:bookmarkEnd w:id="63"/>
    </w:p>
    <w:p>
      <w:pPr>
        <w:pStyle w:val="75"/>
        <w:keepNext/>
        <w:keepLines/>
        <w:widowControl w:val="0"/>
        <w:numPr>
          <w:ilvl w:val="1"/>
          <w:numId w:val="2"/>
        </w:numPr>
        <w:spacing w:before="260" w:after="260" w:line="416" w:lineRule="auto"/>
        <w:ind w:firstLine="0" w:firstLineChars="0"/>
        <w:jc w:val="both"/>
        <w:outlineLvl w:val="2"/>
        <w:rPr>
          <w:rFonts w:cs="Times New Roman"/>
          <w:b/>
          <w:vanish/>
          <w:color w:val="000000"/>
          <w:kern w:val="2"/>
          <w:sz w:val="30"/>
          <w:szCs w:val="30"/>
        </w:rPr>
      </w:pPr>
      <w:bookmarkStart w:id="64" w:name="_Toc99380042"/>
      <w:bookmarkEnd w:id="64"/>
      <w:bookmarkStart w:id="65" w:name="_Toc99485194"/>
      <w:bookmarkEnd w:id="65"/>
      <w:bookmarkStart w:id="66" w:name="_Toc99379950"/>
      <w:bookmarkEnd w:id="66"/>
      <w:bookmarkStart w:id="67" w:name="_Toc99381188"/>
      <w:bookmarkEnd w:id="67"/>
      <w:bookmarkStart w:id="68" w:name="_Toc99379834"/>
      <w:bookmarkEnd w:id="68"/>
      <w:bookmarkStart w:id="69" w:name="_Toc99379991"/>
      <w:bookmarkEnd w:id="69"/>
      <w:bookmarkStart w:id="70" w:name="_Toc99485408"/>
      <w:bookmarkEnd w:id="70"/>
      <w:bookmarkStart w:id="71" w:name="_Toc99380907"/>
      <w:bookmarkEnd w:id="71"/>
      <w:bookmarkStart w:id="72" w:name="_Toc99381243"/>
      <w:bookmarkEnd w:id="72"/>
      <w:bookmarkStart w:id="73" w:name="_Toc99380363"/>
      <w:bookmarkEnd w:id="73"/>
    </w:p>
    <w:p>
      <w:pPr>
        <w:pStyle w:val="4"/>
        <w:numPr>
          <w:ilvl w:val="0"/>
          <w:numId w:val="0"/>
        </w:numPr>
      </w:pPr>
      <w:bookmarkStart w:id="74" w:name="_Toc99380908"/>
      <w:r>
        <w:rPr>
          <w:rFonts w:hint="eastAsia"/>
        </w:rPr>
        <w:t>3.</w:t>
      </w:r>
      <w:r>
        <w:t>3</w:t>
      </w:r>
      <w:r>
        <w:rPr>
          <w:rFonts w:hint="eastAsia"/>
        </w:rPr>
        <w:t>.</w:t>
      </w:r>
      <w:r>
        <w:t>1</w:t>
      </w:r>
      <w:r>
        <w:rPr>
          <w:rFonts w:hint="eastAsia"/>
        </w:rPr>
        <w:t>数据中心数据库运维服务清单</w:t>
      </w:r>
      <w:bookmarkEnd w:id="74"/>
    </w:p>
    <w:p>
      <w:pPr>
        <w:widowControl/>
        <w:spacing w:before="100" w:beforeAutospacing="1" w:after="100" w:afterAutospacing="1" w:line="300" w:lineRule="auto"/>
        <w:ind w:firstLine="420"/>
        <w:jc w:val="left"/>
        <w:rPr>
          <w:rFonts w:ascii="宋体" w:hAnsi="宋体" w:cs="宋体"/>
          <w:kern w:val="0"/>
          <w:sz w:val="24"/>
        </w:rPr>
      </w:pPr>
      <w:r>
        <w:rPr>
          <w:rFonts w:hint="eastAsia" w:ascii="宋体" w:hAnsi="宋体" w:cs="宋体"/>
          <w:kern w:val="0"/>
          <w:sz w:val="24"/>
        </w:rPr>
        <w:t>数字化校园数据库包括2套ORACLE数据库。具体如下</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985"/>
        <w:gridCol w:w="1701"/>
        <w:gridCol w:w="1701"/>
        <w:gridCol w:w="2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序号</w:t>
            </w:r>
          </w:p>
        </w:tc>
        <w:tc>
          <w:tcPr>
            <w:tcW w:w="1985" w:type="dxa"/>
            <w:vAlign w:val="center"/>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数据库主机</w:t>
            </w:r>
          </w:p>
        </w:tc>
        <w:tc>
          <w:tcPr>
            <w:tcW w:w="1701" w:type="dxa"/>
            <w:vAlign w:val="center"/>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数据库版本</w:t>
            </w:r>
          </w:p>
        </w:tc>
        <w:tc>
          <w:tcPr>
            <w:tcW w:w="1701" w:type="dxa"/>
            <w:vAlign w:val="center"/>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数据库实例名</w:t>
            </w:r>
          </w:p>
        </w:tc>
        <w:tc>
          <w:tcPr>
            <w:tcW w:w="2403" w:type="dxa"/>
            <w:vAlign w:val="center"/>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1</w:t>
            </w:r>
          </w:p>
        </w:tc>
        <w:tc>
          <w:tcPr>
            <w:tcW w:w="1985"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略</w:t>
            </w:r>
          </w:p>
        </w:tc>
        <w:tc>
          <w:tcPr>
            <w:tcW w:w="1701"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0</w:t>
            </w: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w:t>
            </w:r>
            <w:r>
              <w:rPr>
                <w:rFonts w:ascii="宋体" w:hAnsi="宋体" w:cs="宋体"/>
                <w:kern w:val="0"/>
                <w:sz w:val="24"/>
              </w:rPr>
              <w:t>0</w:t>
            </w:r>
            <w:r>
              <w:rPr>
                <w:rFonts w:hint="eastAsia" w:ascii="宋体" w:hAnsi="宋体" w:cs="宋体"/>
                <w:kern w:val="0"/>
                <w:sz w:val="24"/>
              </w:rPr>
              <w:t>.</w:t>
            </w:r>
            <w:r>
              <w:rPr>
                <w:rFonts w:ascii="宋体" w:hAnsi="宋体" w:cs="宋体"/>
                <w:kern w:val="0"/>
                <w:sz w:val="24"/>
              </w:rPr>
              <w:t>4</w:t>
            </w:r>
            <w:r>
              <w:rPr>
                <w:rFonts w:hint="eastAsia" w:ascii="宋体" w:hAnsi="宋体" w:cs="宋体"/>
                <w:kern w:val="0"/>
                <w:sz w:val="24"/>
              </w:rPr>
              <w:t>.</w:t>
            </w:r>
            <w:r>
              <w:rPr>
                <w:rFonts w:ascii="宋体" w:hAnsi="宋体" w:cs="宋体"/>
                <w:kern w:val="0"/>
                <w:sz w:val="24"/>
              </w:rPr>
              <w:t>0</w:t>
            </w:r>
          </w:p>
        </w:tc>
        <w:tc>
          <w:tcPr>
            <w:tcW w:w="1701"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略</w:t>
            </w:r>
          </w:p>
        </w:tc>
        <w:tc>
          <w:tcPr>
            <w:tcW w:w="2403"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数字化校园数据库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2</w:t>
            </w:r>
          </w:p>
        </w:tc>
        <w:tc>
          <w:tcPr>
            <w:tcW w:w="1985"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略</w:t>
            </w:r>
          </w:p>
        </w:tc>
        <w:tc>
          <w:tcPr>
            <w:tcW w:w="1701" w:type="dxa"/>
            <w:vMerge w:val="restart"/>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11.2.0.4.0</w:t>
            </w:r>
          </w:p>
        </w:tc>
        <w:tc>
          <w:tcPr>
            <w:tcW w:w="1701" w:type="dxa"/>
            <w:vMerge w:val="restart"/>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略</w:t>
            </w:r>
          </w:p>
        </w:tc>
        <w:tc>
          <w:tcPr>
            <w:tcW w:w="2403" w:type="dxa"/>
            <w:vMerge w:val="restart"/>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lang w:val="en-US" w:eastAsia="zh-CN"/>
              </w:rPr>
              <w:t>智慧</w:t>
            </w:r>
            <w:r>
              <w:rPr>
                <w:rFonts w:hint="eastAsia" w:ascii="宋体" w:hAnsi="宋体" w:cs="宋体"/>
                <w:kern w:val="0"/>
                <w:sz w:val="24"/>
              </w:rPr>
              <w:t>校园RAC数据库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3</w:t>
            </w:r>
          </w:p>
        </w:tc>
        <w:tc>
          <w:tcPr>
            <w:tcW w:w="1985" w:type="dxa"/>
          </w:tcPr>
          <w:p>
            <w:pPr>
              <w:widowControl/>
              <w:spacing w:before="100" w:beforeAutospacing="1" w:after="100" w:afterAutospacing="1" w:line="300" w:lineRule="auto"/>
              <w:jc w:val="left"/>
              <w:rPr>
                <w:rFonts w:ascii="宋体" w:hAnsi="宋体" w:cs="宋体"/>
                <w:kern w:val="0"/>
                <w:sz w:val="24"/>
              </w:rPr>
            </w:pPr>
            <w:r>
              <w:rPr>
                <w:rFonts w:hint="eastAsia" w:ascii="宋体" w:hAnsi="宋体" w:cs="宋体"/>
                <w:kern w:val="0"/>
                <w:sz w:val="24"/>
              </w:rPr>
              <w:t>略</w:t>
            </w:r>
          </w:p>
        </w:tc>
        <w:tc>
          <w:tcPr>
            <w:tcW w:w="1701" w:type="dxa"/>
            <w:vMerge w:val="continue"/>
          </w:tcPr>
          <w:p>
            <w:pPr>
              <w:widowControl/>
              <w:spacing w:before="100" w:beforeAutospacing="1" w:after="100" w:afterAutospacing="1" w:line="300" w:lineRule="auto"/>
              <w:jc w:val="left"/>
              <w:rPr>
                <w:rFonts w:ascii="宋体" w:hAnsi="宋体" w:cs="宋体"/>
                <w:kern w:val="0"/>
                <w:sz w:val="24"/>
              </w:rPr>
            </w:pPr>
          </w:p>
        </w:tc>
        <w:tc>
          <w:tcPr>
            <w:tcW w:w="1701" w:type="dxa"/>
            <w:vMerge w:val="continue"/>
          </w:tcPr>
          <w:p>
            <w:pPr>
              <w:widowControl/>
              <w:spacing w:before="100" w:beforeAutospacing="1" w:after="100" w:afterAutospacing="1" w:line="300" w:lineRule="auto"/>
              <w:jc w:val="left"/>
              <w:rPr>
                <w:rFonts w:ascii="宋体" w:hAnsi="宋体" w:cs="宋体"/>
                <w:kern w:val="0"/>
                <w:sz w:val="24"/>
              </w:rPr>
            </w:pPr>
          </w:p>
        </w:tc>
        <w:tc>
          <w:tcPr>
            <w:tcW w:w="2403" w:type="dxa"/>
            <w:vMerge w:val="continue"/>
          </w:tcPr>
          <w:p>
            <w:pPr>
              <w:widowControl/>
              <w:spacing w:before="100" w:beforeAutospacing="1" w:after="100" w:afterAutospacing="1" w:line="300" w:lineRule="auto"/>
              <w:jc w:val="left"/>
              <w:rPr>
                <w:rFonts w:ascii="宋体" w:hAnsi="宋体" w:cs="宋体"/>
                <w:kern w:val="0"/>
                <w:sz w:val="24"/>
              </w:rPr>
            </w:pPr>
          </w:p>
        </w:tc>
      </w:tr>
    </w:tbl>
    <w:p>
      <w:pPr>
        <w:pStyle w:val="4"/>
        <w:numPr>
          <w:ilvl w:val="0"/>
          <w:numId w:val="0"/>
        </w:numPr>
      </w:pPr>
      <w:bookmarkStart w:id="75" w:name="_Toc99380909"/>
      <w:bookmarkStart w:id="76" w:name="_Toc512256116"/>
      <w:r>
        <w:rPr>
          <w:rFonts w:hint="eastAsia"/>
        </w:rPr>
        <w:t>3.</w:t>
      </w:r>
      <w:r>
        <w:t>3</w:t>
      </w:r>
      <w:r>
        <w:rPr>
          <w:rFonts w:hint="eastAsia"/>
        </w:rPr>
        <w:t>.</w:t>
      </w:r>
      <w:r>
        <w:t>2</w:t>
      </w:r>
      <w:r>
        <w:rPr>
          <w:rFonts w:hint="eastAsia"/>
        </w:rPr>
        <w:t>故障分析与应急响应服务</w:t>
      </w:r>
      <w:bookmarkEnd w:id="75"/>
      <w:bookmarkEnd w:id="76"/>
    </w:p>
    <w:tbl>
      <w:tblPr>
        <w:tblStyle w:val="29"/>
        <w:tblW w:w="9206"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434"/>
        <w:gridCol w:w="5103"/>
        <w:gridCol w:w="36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146" w:type="dxa"/>
            <w:gridSpan w:val="3"/>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b/>
                <w:bCs/>
                <w:kern w:val="0"/>
                <w:sz w:val="24"/>
              </w:rPr>
              <w:t>故障分析与应急响应服务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1</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当应用系统或数据库系统出现故障时，无论是主机、存储、操作系统、数据库系统，当系统发生故障而不能确定故障原因时，提供故障分析和定位服务，在最短的时间内协助解决系统问题</w:t>
            </w:r>
          </w:p>
        </w:tc>
        <w:tc>
          <w:tcPr>
            <w:tcW w:w="3624"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致命故障（系统瘫痪）：7*24小时服务，1小时内响应及到达机房现场，2小时内故障判断并进行恢复；</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严重故障（系统部分瘫痪或性能明显受损）：7*24小时服务，2小时内响应及到达机房现场，4小时内故障判断并进行恢复；</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一般故障（非上述致命或严重故障）：正常工作时间5*9小时服务，4小时内响应及到达机房现场，24小时内故障判断并进行恢复。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2</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当业务系统运行过程中出现严重性能问题时，协助寻找性能瓶颈，提供优化建议</w:t>
            </w:r>
          </w:p>
        </w:tc>
        <w:tc>
          <w:tcPr>
            <w:tcW w:w="36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3</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当主生产数据库出现影响其运行的故障时，在有容灾系统的情况下，提供主备系统间的切换服务，以最快的时间恢复系统的正常运行</w:t>
            </w:r>
          </w:p>
        </w:tc>
        <w:tc>
          <w:tcPr>
            <w:tcW w:w="36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89"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4</w:t>
            </w:r>
          </w:p>
        </w:tc>
        <w:tc>
          <w:tcPr>
            <w:tcW w:w="5073"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在系统发生故障时，视故障需求恢复系统和数据库，在严重故障时，重新安装部署整个系统</w:t>
            </w:r>
          </w:p>
        </w:tc>
        <w:tc>
          <w:tcPr>
            <w:tcW w:w="3624" w:type="dxa"/>
            <w:vMerge w:val="continue"/>
            <w:tcBorders>
              <w:top w:val="nil"/>
              <w:left w:val="nil"/>
              <w:bottom w:val="single" w:color="auto" w:sz="6" w:space="0"/>
              <w:right w:val="single" w:color="auto" w:sz="6" w:space="0"/>
            </w:tcBorders>
            <w:vAlign w:val="center"/>
          </w:tcPr>
          <w:p>
            <w:pPr>
              <w:widowControl/>
              <w:jc w:val="left"/>
              <w:rPr>
                <w:rFonts w:ascii="宋体" w:hAnsi="宋体" w:cs="宋体"/>
                <w:kern w:val="0"/>
                <w:sz w:val="24"/>
              </w:rPr>
            </w:pPr>
          </w:p>
        </w:tc>
      </w:tr>
    </w:tbl>
    <w:p>
      <w:pPr>
        <w:pStyle w:val="4"/>
        <w:numPr>
          <w:ilvl w:val="0"/>
          <w:numId w:val="0"/>
        </w:numPr>
      </w:pPr>
      <w:bookmarkStart w:id="77" w:name="_Toc386013905"/>
      <w:bookmarkStart w:id="78" w:name="_Toc99380910"/>
      <w:bookmarkStart w:id="79" w:name="_Toc512256117"/>
      <w:r>
        <w:rPr>
          <w:rFonts w:hint="eastAsia"/>
        </w:rPr>
        <w:t>3.</w:t>
      </w:r>
      <w:r>
        <w:t>3</w:t>
      </w:r>
      <w:r>
        <w:rPr>
          <w:rFonts w:hint="eastAsia"/>
        </w:rPr>
        <w:t>.</w:t>
      </w:r>
      <w:r>
        <w:t>3</w:t>
      </w:r>
      <w:r>
        <w:rPr>
          <w:rFonts w:hint="eastAsia"/>
        </w:rPr>
        <w:t>数据库规划与部署支持服务</w:t>
      </w:r>
      <w:bookmarkEnd w:id="77"/>
      <w:bookmarkEnd w:id="78"/>
      <w:bookmarkEnd w:id="79"/>
    </w:p>
    <w:p>
      <w:pPr>
        <w:pStyle w:val="85"/>
        <w:rPr>
          <w:rFonts w:ascii="宋体" w:hAnsi="宋体"/>
        </w:rPr>
      </w:pPr>
      <w:r>
        <w:rPr>
          <w:rFonts w:hint="eastAsia" w:ascii="宋体" w:hAnsi="宋体"/>
        </w:rPr>
        <w:t>拥有一批专业的数据库技术专家进行数据库部署实施工作， 确保基础平台运行的稳定。</w:t>
      </w:r>
    </w:p>
    <w:p>
      <w:pPr>
        <w:pStyle w:val="85"/>
        <w:ind w:firstLineChars="0"/>
        <w:rPr>
          <w:rFonts w:ascii="宋体" w:hAnsi="宋体"/>
        </w:rPr>
      </w:pPr>
      <w:r>
        <w:rPr>
          <w:rFonts w:hint="eastAsia" w:ascii="宋体" w:hAnsi="宋体"/>
        </w:rPr>
        <w:t>数据库规划与部署支持服务包括：</w:t>
      </w:r>
    </w:p>
    <w:p>
      <w:pPr>
        <w:pStyle w:val="85"/>
        <w:numPr>
          <w:ilvl w:val="0"/>
          <w:numId w:val="7"/>
        </w:numPr>
        <w:ind w:firstLineChars="0"/>
        <w:rPr>
          <w:rFonts w:ascii="宋体" w:hAnsi="宋体"/>
        </w:rPr>
      </w:pPr>
      <w:r>
        <w:rPr>
          <w:rFonts w:hint="eastAsia" w:ascii="宋体" w:hAnsi="宋体"/>
        </w:rPr>
        <w:t>数据库所用的存储规划；</w:t>
      </w:r>
    </w:p>
    <w:p>
      <w:pPr>
        <w:pStyle w:val="85"/>
        <w:numPr>
          <w:ilvl w:val="0"/>
          <w:numId w:val="7"/>
        </w:numPr>
        <w:ind w:firstLineChars="0"/>
        <w:rPr>
          <w:rFonts w:ascii="宋体" w:hAnsi="宋体"/>
        </w:rPr>
      </w:pPr>
      <w:r>
        <w:rPr>
          <w:rFonts w:hint="eastAsia" w:ascii="宋体" w:hAnsi="宋体"/>
        </w:rPr>
        <w:t>数据库操作系统配置规划；</w:t>
      </w:r>
    </w:p>
    <w:p>
      <w:pPr>
        <w:pStyle w:val="85"/>
        <w:numPr>
          <w:ilvl w:val="0"/>
          <w:numId w:val="7"/>
        </w:numPr>
        <w:ind w:firstLineChars="0"/>
        <w:rPr>
          <w:rFonts w:ascii="宋体" w:hAnsi="宋体"/>
        </w:rPr>
      </w:pPr>
      <w:r>
        <w:rPr>
          <w:rFonts w:hint="eastAsia" w:ascii="宋体" w:hAnsi="宋体"/>
        </w:rPr>
        <w:t>根据应用系统现状或规划，规划数据库；</w:t>
      </w:r>
    </w:p>
    <w:p>
      <w:pPr>
        <w:pStyle w:val="85"/>
        <w:numPr>
          <w:ilvl w:val="0"/>
          <w:numId w:val="7"/>
        </w:numPr>
        <w:ind w:firstLineChars="0"/>
        <w:rPr>
          <w:rFonts w:ascii="宋体" w:hAnsi="宋体"/>
        </w:rPr>
      </w:pPr>
      <w:r>
        <w:rPr>
          <w:rFonts w:hint="eastAsia" w:ascii="宋体" w:hAnsi="宋体"/>
        </w:rPr>
        <w:t>协助安装基于第三方的集群软件；</w:t>
      </w:r>
    </w:p>
    <w:p>
      <w:pPr>
        <w:pStyle w:val="85"/>
        <w:numPr>
          <w:ilvl w:val="0"/>
          <w:numId w:val="7"/>
        </w:numPr>
        <w:ind w:firstLineChars="0"/>
        <w:rPr>
          <w:rFonts w:ascii="宋体" w:hAnsi="宋体"/>
        </w:rPr>
      </w:pPr>
      <w:r>
        <w:rPr>
          <w:rFonts w:hint="eastAsia" w:ascii="宋体" w:hAnsi="宋体"/>
        </w:rPr>
        <w:t>合理安装数据库软件；</w:t>
      </w:r>
    </w:p>
    <w:p>
      <w:pPr>
        <w:pStyle w:val="85"/>
        <w:numPr>
          <w:ilvl w:val="0"/>
          <w:numId w:val="7"/>
        </w:numPr>
        <w:ind w:firstLineChars="0"/>
        <w:rPr>
          <w:rFonts w:ascii="宋体" w:hAnsi="宋体"/>
        </w:rPr>
      </w:pPr>
      <w:r>
        <w:rPr>
          <w:rFonts w:hint="eastAsia" w:ascii="宋体" w:hAnsi="宋体"/>
        </w:rPr>
        <w:t>根据规划的数据库，创建数据库；</w:t>
      </w:r>
    </w:p>
    <w:p>
      <w:pPr>
        <w:pStyle w:val="85"/>
        <w:numPr>
          <w:ilvl w:val="0"/>
          <w:numId w:val="7"/>
        </w:numPr>
        <w:ind w:firstLineChars="0"/>
        <w:rPr>
          <w:rFonts w:ascii="宋体" w:hAnsi="宋体"/>
        </w:rPr>
      </w:pPr>
      <w:r>
        <w:rPr>
          <w:rFonts w:hint="eastAsia" w:ascii="宋体" w:hAnsi="宋体"/>
        </w:rPr>
        <w:t>根据规划的数据库，合理分配数据分布；</w:t>
      </w:r>
    </w:p>
    <w:p>
      <w:pPr>
        <w:pStyle w:val="85"/>
        <w:numPr>
          <w:ilvl w:val="0"/>
          <w:numId w:val="7"/>
        </w:numPr>
        <w:ind w:firstLineChars="0"/>
        <w:rPr>
          <w:rFonts w:ascii="宋体" w:hAnsi="宋体"/>
        </w:rPr>
      </w:pPr>
      <w:r>
        <w:rPr>
          <w:rFonts w:hint="eastAsia" w:ascii="宋体" w:hAnsi="宋体"/>
        </w:rPr>
        <w:t>设置合理的数据库运行参数；</w:t>
      </w:r>
    </w:p>
    <w:p>
      <w:pPr>
        <w:pStyle w:val="85"/>
        <w:numPr>
          <w:ilvl w:val="0"/>
          <w:numId w:val="7"/>
        </w:numPr>
        <w:ind w:firstLineChars="0"/>
        <w:rPr>
          <w:rFonts w:ascii="宋体" w:hAnsi="宋体"/>
        </w:rPr>
      </w:pPr>
      <w:r>
        <w:rPr>
          <w:rFonts w:hint="eastAsia" w:ascii="宋体" w:hAnsi="宋体"/>
        </w:rPr>
        <w:t>设置数据库的监听程序；</w:t>
      </w:r>
    </w:p>
    <w:p>
      <w:pPr>
        <w:pStyle w:val="85"/>
        <w:numPr>
          <w:ilvl w:val="0"/>
          <w:numId w:val="7"/>
        </w:numPr>
        <w:ind w:firstLineChars="0"/>
        <w:rPr>
          <w:rFonts w:ascii="宋体" w:hAnsi="宋体"/>
        </w:rPr>
      </w:pPr>
      <w:r>
        <w:rPr>
          <w:rFonts w:hint="eastAsia" w:ascii="宋体" w:hAnsi="宋体"/>
        </w:rPr>
        <w:t>执行集群数据库部署高可用测试，提供相应的测试报告；</w:t>
      </w:r>
    </w:p>
    <w:p>
      <w:pPr>
        <w:pStyle w:val="85"/>
        <w:numPr>
          <w:ilvl w:val="0"/>
          <w:numId w:val="7"/>
        </w:numPr>
        <w:ind w:firstLineChars="0"/>
        <w:rPr>
          <w:rFonts w:ascii="宋体" w:hAnsi="宋体"/>
        </w:rPr>
      </w:pPr>
      <w:r>
        <w:rPr>
          <w:rFonts w:hint="eastAsia" w:ascii="宋体" w:hAnsi="宋体"/>
        </w:rPr>
        <w:t>执行数据库部署基准测试，提供相应的测试报告；</w:t>
      </w:r>
    </w:p>
    <w:p>
      <w:pPr>
        <w:pStyle w:val="85"/>
        <w:numPr>
          <w:ilvl w:val="0"/>
          <w:numId w:val="7"/>
        </w:numPr>
        <w:ind w:firstLineChars="0"/>
        <w:rPr>
          <w:rFonts w:ascii="宋体" w:hAnsi="宋体"/>
        </w:rPr>
      </w:pPr>
      <w:r>
        <w:rPr>
          <w:rFonts w:hint="eastAsia" w:ascii="宋体" w:hAnsi="宋体"/>
        </w:rPr>
        <w:t>提供完善的数据库规划、安装部署等文档报告；</w:t>
      </w:r>
    </w:p>
    <w:p>
      <w:pPr>
        <w:pStyle w:val="4"/>
        <w:numPr>
          <w:ilvl w:val="0"/>
          <w:numId w:val="0"/>
        </w:numPr>
      </w:pPr>
      <w:bookmarkStart w:id="80" w:name="_Toc386013906"/>
      <w:bookmarkStart w:id="81" w:name="_Toc512256118"/>
      <w:bookmarkStart w:id="82" w:name="_Toc99380911"/>
      <w:r>
        <w:rPr>
          <w:rFonts w:hint="eastAsia"/>
        </w:rPr>
        <w:t>3.</w:t>
      </w:r>
      <w:r>
        <w:t>3</w:t>
      </w:r>
      <w:r>
        <w:rPr>
          <w:rFonts w:hint="eastAsia"/>
        </w:rPr>
        <w:t>.</w:t>
      </w:r>
      <w:r>
        <w:t>4</w:t>
      </w:r>
      <w:r>
        <w:rPr>
          <w:rFonts w:hint="eastAsia"/>
        </w:rPr>
        <w:t>数据库问题诊断与处理服务</w:t>
      </w:r>
      <w:bookmarkEnd w:id="80"/>
      <w:bookmarkEnd w:id="81"/>
      <w:bookmarkEnd w:id="82"/>
    </w:p>
    <w:p>
      <w:pPr>
        <w:pStyle w:val="85"/>
        <w:rPr>
          <w:rFonts w:ascii="宋体" w:hAnsi="宋体"/>
        </w:rPr>
      </w:pPr>
      <w:r>
        <w:rPr>
          <w:rFonts w:hint="eastAsia" w:ascii="宋体" w:hAnsi="宋体"/>
        </w:rPr>
        <w:t xml:space="preserve">根据数据库运行过程中发生的故障、异常，及时分析诊断并处理。确保数据库运行的持续性以及信息化系统运行的稳定。 </w:t>
      </w:r>
    </w:p>
    <w:p>
      <w:pPr>
        <w:pStyle w:val="85"/>
        <w:rPr>
          <w:rFonts w:ascii="宋体" w:hAnsi="宋体"/>
        </w:rPr>
      </w:pPr>
      <w:r>
        <w:rPr>
          <w:rFonts w:hint="eastAsia" w:ascii="宋体" w:hAnsi="宋体"/>
        </w:rPr>
        <w:t xml:space="preserve">数据库问题诊断与问题处理服务包括： </w:t>
      </w:r>
    </w:p>
    <w:p>
      <w:pPr>
        <w:pStyle w:val="85"/>
        <w:numPr>
          <w:ilvl w:val="0"/>
          <w:numId w:val="7"/>
        </w:numPr>
        <w:ind w:firstLineChars="0"/>
        <w:rPr>
          <w:rFonts w:ascii="宋体" w:hAnsi="宋体"/>
        </w:rPr>
      </w:pPr>
      <w:r>
        <w:rPr>
          <w:rFonts w:hint="eastAsia" w:ascii="宋体" w:hAnsi="宋体"/>
        </w:rPr>
        <w:t xml:space="preserve">由参数配置不合理导致的数据库故障； </w:t>
      </w:r>
    </w:p>
    <w:p>
      <w:pPr>
        <w:pStyle w:val="85"/>
        <w:numPr>
          <w:ilvl w:val="0"/>
          <w:numId w:val="7"/>
        </w:numPr>
        <w:ind w:firstLineChars="0"/>
        <w:rPr>
          <w:rFonts w:ascii="宋体" w:hAnsi="宋体"/>
        </w:rPr>
      </w:pPr>
      <w:r>
        <w:rPr>
          <w:rFonts w:hint="eastAsia" w:ascii="宋体" w:hAnsi="宋体"/>
        </w:rPr>
        <w:t xml:space="preserve">由空间配置不合理导致的数据库故障； </w:t>
      </w:r>
    </w:p>
    <w:p>
      <w:pPr>
        <w:pStyle w:val="85"/>
        <w:numPr>
          <w:ilvl w:val="0"/>
          <w:numId w:val="7"/>
        </w:numPr>
        <w:ind w:firstLineChars="0"/>
        <w:rPr>
          <w:rFonts w:ascii="宋体" w:hAnsi="宋体"/>
        </w:rPr>
      </w:pPr>
      <w:r>
        <w:rPr>
          <w:rFonts w:hint="eastAsia" w:ascii="宋体" w:hAnsi="宋体"/>
        </w:rPr>
        <w:t xml:space="preserve">由日常误操作导致非影响到数据丢失的数据库故障； </w:t>
      </w:r>
    </w:p>
    <w:p>
      <w:pPr>
        <w:pStyle w:val="85"/>
        <w:numPr>
          <w:ilvl w:val="0"/>
          <w:numId w:val="7"/>
        </w:numPr>
        <w:ind w:firstLineChars="0"/>
        <w:rPr>
          <w:rFonts w:ascii="宋体" w:hAnsi="宋体"/>
        </w:rPr>
      </w:pPr>
      <w:r>
        <w:rPr>
          <w:rFonts w:hint="eastAsia" w:ascii="宋体" w:hAnsi="宋体"/>
        </w:rPr>
        <w:t xml:space="preserve">由集群配置错误导致的数据库故障； </w:t>
      </w:r>
    </w:p>
    <w:p>
      <w:pPr>
        <w:pStyle w:val="85"/>
        <w:numPr>
          <w:ilvl w:val="0"/>
          <w:numId w:val="7"/>
        </w:numPr>
        <w:ind w:firstLineChars="0"/>
        <w:rPr>
          <w:rFonts w:ascii="宋体" w:hAnsi="宋体"/>
        </w:rPr>
      </w:pPr>
      <w:r>
        <w:rPr>
          <w:rFonts w:hint="eastAsia" w:ascii="宋体" w:hAnsi="宋体"/>
        </w:rPr>
        <w:t xml:space="preserve">一些非影响到数据库结构的变更的故障； </w:t>
      </w:r>
    </w:p>
    <w:p>
      <w:pPr>
        <w:pStyle w:val="85"/>
        <w:numPr>
          <w:ilvl w:val="0"/>
          <w:numId w:val="7"/>
        </w:numPr>
        <w:ind w:firstLineChars="0"/>
        <w:rPr>
          <w:rFonts w:ascii="宋体" w:hAnsi="宋体"/>
        </w:rPr>
      </w:pPr>
      <w:r>
        <w:rPr>
          <w:rFonts w:hint="eastAsia" w:ascii="宋体" w:hAnsi="宋体"/>
        </w:rPr>
        <w:t xml:space="preserve">一些由第三方集群软件、备份软件配置不合理、异常导致的数据库故障； </w:t>
      </w:r>
    </w:p>
    <w:p>
      <w:pPr>
        <w:pStyle w:val="85"/>
        <w:numPr>
          <w:ilvl w:val="0"/>
          <w:numId w:val="7"/>
        </w:numPr>
        <w:ind w:firstLineChars="0"/>
        <w:rPr>
          <w:rFonts w:ascii="宋体" w:hAnsi="宋体"/>
        </w:rPr>
      </w:pPr>
      <w:r>
        <w:rPr>
          <w:rFonts w:hint="eastAsia" w:ascii="宋体" w:hAnsi="宋体"/>
        </w:rPr>
        <w:t xml:space="preserve">提高完整的数据库问题处理报告； </w:t>
      </w:r>
    </w:p>
    <w:p>
      <w:pPr>
        <w:pStyle w:val="4"/>
        <w:numPr>
          <w:ilvl w:val="0"/>
          <w:numId w:val="0"/>
        </w:numPr>
      </w:pPr>
      <w:bookmarkStart w:id="83" w:name="_Toc512256119"/>
      <w:bookmarkStart w:id="84" w:name="_Toc386013907"/>
      <w:bookmarkStart w:id="85" w:name="_Toc99380912"/>
      <w:r>
        <w:rPr>
          <w:rFonts w:hint="eastAsia"/>
        </w:rPr>
        <w:t>3.</w:t>
      </w:r>
      <w:r>
        <w:t>3</w:t>
      </w:r>
      <w:r>
        <w:rPr>
          <w:rFonts w:hint="eastAsia"/>
        </w:rPr>
        <w:t>.</w:t>
      </w:r>
      <w:r>
        <w:t>5</w:t>
      </w:r>
      <w:r>
        <w:rPr>
          <w:rFonts w:hint="eastAsia"/>
        </w:rPr>
        <w:t>数据库健康检查服务</w:t>
      </w:r>
      <w:bookmarkEnd w:id="83"/>
      <w:bookmarkEnd w:id="84"/>
      <w:bookmarkEnd w:id="85"/>
    </w:p>
    <w:p>
      <w:pPr>
        <w:pStyle w:val="85"/>
        <w:rPr>
          <w:rFonts w:ascii="宋体" w:hAnsi="宋体"/>
        </w:rPr>
      </w:pPr>
      <w:r>
        <w:rPr>
          <w:rFonts w:hint="eastAsia" w:ascii="宋体" w:hAnsi="宋体"/>
        </w:rPr>
        <w:t xml:space="preserve">通过每季度一次的健康检查，数据库巡检范围清单详见数据库范围清单相关章节）对发现的数据库问题予以诊断建议或解决。协助户建立周期性信息系统巡检机制，确保数据库问题预见性、常态化。主要的检查内容有： </w:t>
      </w:r>
    </w:p>
    <w:p>
      <w:pPr>
        <w:pStyle w:val="85"/>
        <w:numPr>
          <w:ilvl w:val="0"/>
          <w:numId w:val="7"/>
        </w:numPr>
        <w:ind w:firstLineChars="0"/>
        <w:rPr>
          <w:rFonts w:ascii="宋体" w:hAnsi="宋体"/>
        </w:rPr>
      </w:pPr>
      <w:r>
        <w:rPr>
          <w:rFonts w:hint="eastAsia" w:ascii="宋体" w:hAnsi="宋体"/>
        </w:rPr>
        <w:t xml:space="preserve">数据库的配置情况，包括磁盘规划、内存规划、数据文件规划、日志文件规划、网络连接规划等信息； </w:t>
      </w:r>
    </w:p>
    <w:p>
      <w:pPr>
        <w:pStyle w:val="85"/>
        <w:numPr>
          <w:ilvl w:val="0"/>
          <w:numId w:val="7"/>
        </w:numPr>
        <w:ind w:firstLineChars="0"/>
        <w:rPr>
          <w:rFonts w:ascii="宋体" w:hAnsi="宋体"/>
        </w:rPr>
      </w:pPr>
      <w:r>
        <w:rPr>
          <w:rFonts w:hint="eastAsia" w:ascii="宋体" w:hAnsi="宋体"/>
        </w:rPr>
        <w:t xml:space="preserve">备份恢复策略的基本信息，包括业务要求、备份方法、备份计划、恢复方法、恢复计划、恢复测试计划； </w:t>
      </w:r>
    </w:p>
    <w:p>
      <w:pPr>
        <w:pStyle w:val="85"/>
        <w:numPr>
          <w:ilvl w:val="0"/>
          <w:numId w:val="7"/>
        </w:numPr>
        <w:ind w:firstLineChars="0"/>
        <w:rPr>
          <w:rFonts w:ascii="宋体" w:hAnsi="宋体"/>
        </w:rPr>
      </w:pPr>
      <w:r>
        <w:rPr>
          <w:rFonts w:hint="eastAsia" w:ascii="宋体" w:hAnsi="宋体"/>
        </w:rPr>
        <w:t xml:space="preserve">数据库文件信息，包括文件数量、文件大小、文件位置、文件的空间使用等信息； </w:t>
      </w:r>
    </w:p>
    <w:p>
      <w:pPr>
        <w:pStyle w:val="85"/>
        <w:numPr>
          <w:ilvl w:val="0"/>
          <w:numId w:val="7"/>
        </w:numPr>
        <w:ind w:firstLineChars="0"/>
        <w:rPr>
          <w:rFonts w:ascii="宋体" w:hAnsi="宋体"/>
        </w:rPr>
      </w:pPr>
      <w:r>
        <w:rPr>
          <w:rFonts w:hint="eastAsia" w:ascii="宋体" w:hAnsi="宋体"/>
        </w:rPr>
        <w:t xml:space="preserve">表空间信息，包括表空间的空间管理、现有空间使用等信息； </w:t>
      </w:r>
    </w:p>
    <w:p>
      <w:pPr>
        <w:pStyle w:val="85"/>
        <w:numPr>
          <w:ilvl w:val="0"/>
          <w:numId w:val="7"/>
        </w:numPr>
        <w:ind w:firstLineChars="0"/>
        <w:rPr>
          <w:rFonts w:ascii="宋体" w:hAnsi="宋体"/>
        </w:rPr>
      </w:pPr>
      <w:r>
        <w:rPr>
          <w:rFonts w:hint="eastAsia" w:ascii="宋体" w:hAnsi="宋体"/>
        </w:rPr>
        <w:t xml:space="preserve">ALERT 日志文件信息，包括以往数据库出现的各种重要问题； </w:t>
      </w:r>
    </w:p>
    <w:p>
      <w:pPr>
        <w:pStyle w:val="85"/>
        <w:numPr>
          <w:ilvl w:val="0"/>
          <w:numId w:val="7"/>
        </w:numPr>
        <w:ind w:firstLineChars="0"/>
        <w:rPr>
          <w:rFonts w:ascii="宋体" w:hAnsi="宋体"/>
        </w:rPr>
      </w:pPr>
      <w:r>
        <w:rPr>
          <w:rFonts w:hint="eastAsia" w:ascii="宋体" w:hAnsi="宋体"/>
        </w:rPr>
        <w:t xml:space="preserve">数据库主机配置以及运行情况分析； </w:t>
      </w:r>
    </w:p>
    <w:p>
      <w:pPr>
        <w:pStyle w:val="85"/>
        <w:numPr>
          <w:ilvl w:val="0"/>
          <w:numId w:val="7"/>
        </w:numPr>
        <w:ind w:firstLineChars="0"/>
        <w:rPr>
          <w:rFonts w:ascii="宋体" w:hAnsi="宋体"/>
        </w:rPr>
      </w:pPr>
      <w:r>
        <w:rPr>
          <w:rFonts w:hint="eastAsia" w:ascii="宋体" w:hAnsi="宋体"/>
        </w:rPr>
        <w:t xml:space="preserve">数据库集群配置以及运行情况分析； </w:t>
      </w:r>
    </w:p>
    <w:p>
      <w:pPr>
        <w:pStyle w:val="85"/>
        <w:numPr>
          <w:ilvl w:val="0"/>
          <w:numId w:val="7"/>
        </w:numPr>
        <w:ind w:firstLineChars="0"/>
        <w:rPr>
          <w:rFonts w:ascii="宋体" w:hAnsi="宋体"/>
        </w:rPr>
      </w:pPr>
      <w:r>
        <w:rPr>
          <w:rFonts w:hint="eastAsia" w:ascii="宋体" w:hAnsi="宋体"/>
        </w:rPr>
        <w:t>SGA的内存使用，包括数据库内存的配置、使用状况等信息；</w:t>
      </w:r>
    </w:p>
    <w:p>
      <w:pPr>
        <w:pStyle w:val="85"/>
        <w:numPr>
          <w:ilvl w:val="0"/>
          <w:numId w:val="7"/>
        </w:numPr>
        <w:ind w:firstLineChars="0"/>
        <w:rPr>
          <w:rFonts w:ascii="宋体" w:hAnsi="宋体"/>
        </w:rPr>
      </w:pPr>
      <w:r>
        <w:rPr>
          <w:rFonts w:hint="eastAsia" w:ascii="宋体" w:hAnsi="宋体"/>
        </w:rPr>
        <w:t>数据库I/O统计信息，包括数据库的物理和逻辑I/O、数据文件I/O等信息；</w:t>
      </w:r>
    </w:p>
    <w:p>
      <w:pPr>
        <w:pStyle w:val="85"/>
        <w:numPr>
          <w:ilvl w:val="0"/>
          <w:numId w:val="7"/>
        </w:numPr>
        <w:ind w:firstLineChars="0"/>
        <w:rPr>
          <w:rFonts w:ascii="宋体" w:hAnsi="宋体"/>
        </w:rPr>
      </w:pPr>
      <w:r>
        <w:rPr>
          <w:rFonts w:hint="eastAsia" w:ascii="宋体" w:hAnsi="宋体"/>
        </w:rPr>
        <w:t>LATCH使用竞争，包括各种数据库内部锁的使用状况等信息；</w:t>
      </w:r>
    </w:p>
    <w:p>
      <w:pPr>
        <w:pStyle w:val="85"/>
        <w:numPr>
          <w:ilvl w:val="0"/>
          <w:numId w:val="7"/>
        </w:numPr>
        <w:ind w:firstLineChars="0"/>
        <w:rPr>
          <w:rFonts w:ascii="宋体" w:hAnsi="宋体"/>
        </w:rPr>
      </w:pPr>
      <w:r>
        <w:rPr>
          <w:rFonts w:hint="eastAsia" w:ascii="宋体" w:hAnsi="宋体"/>
        </w:rPr>
        <w:t>SQL优化，找到消耗数据库资源多的SQL语句，并了解这些语句的执行方法；</w:t>
      </w:r>
    </w:p>
    <w:p>
      <w:pPr>
        <w:pStyle w:val="85"/>
        <w:numPr>
          <w:ilvl w:val="0"/>
          <w:numId w:val="7"/>
        </w:numPr>
        <w:ind w:firstLineChars="0"/>
        <w:rPr>
          <w:rFonts w:ascii="宋体" w:hAnsi="宋体"/>
        </w:rPr>
      </w:pPr>
      <w:r>
        <w:rPr>
          <w:rFonts w:hint="eastAsia" w:ascii="宋体" w:hAnsi="宋体"/>
        </w:rPr>
        <w:t>提供完整的数据库健康检查报告。</w:t>
      </w:r>
    </w:p>
    <w:p>
      <w:pPr>
        <w:pStyle w:val="4"/>
        <w:numPr>
          <w:ilvl w:val="0"/>
          <w:numId w:val="0"/>
        </w:numPr>
      </w:pPr>
      <w:bookmarkStart w:id="86" w:name="_Toc512256120"/>
      <w:bookmarkStart w:id="87" w:name="_Toc386013908"/>
      <w:bookmarkStart w:id="88" w:name="_Toc99380913"/>
      <w:r>
        <w:rPr>
          <w:rFonts w:hint="eastAsia"/>
        </w:rPr>
        <w:t>3.</w:t>
      </w:r>
      <w:r>
        <w:t>3</w:t>
      </w:r>
      <w:r>
        <w:rPr>
          <w:rFonts w:hint="eastAsia"/>
        </w:rPr>
        <w:t>.</w:t>
      </w:r>
      <w:r>
        <w:t>6</w:t>
      </w:r>
      <w:r>
        <w:rPr>
          <w:rFonts w:hint="eastAsia"/>
        </w:rPr>
        <w:t>数据库系统备份与恢复</w:t>
      </w:r>
      <w:bookmarkEnd w:id="86"/>
      <w:bookmarkEnd w:id="87"/>
      <w:bookmarkEnd w:id="88"/>
    </w:p>
    <w:p>
      <w:pPr>
        <w:pStyle w:val="85"/>
        <w:rPr>
          <w:rFonts w:ascii="宋体" w:hAnsi="宋体"/>
        </w:rPr>
      </w:pPr>
      <w:r>
        <w:rPr>
          <w:rFonts w:hint="eastAsia" w:ascii="宋体" w:hAnsi="宋体"/>
        </w:rPr>
        <w:t>数据库的使命就是集中存储福建中医药大学数据中心各业务系统的核心业务数据，提供高效方便的数据访问方式。福建中医药大学数据中心各应用系统的安全性直接取决于业务数据的安全性和可靠性，数据库的备份是在数据库出现异常情况下能快速成功恢复业务数据的唯一保障。</w:t>
      </w:r>
    </w:p>
    <w:p>
      <w:pPr>
        <w:pStyle w:val="85"/>
        <w:rPr>
          <w:rFonts w:ascii="宋体" w:hAnsi="宋体"/>
        </w:rPr>
      </w:pPr>
      <w:r>
        <w:rPr>
          <w:rFonts w:hint="eastAsia" w:ascii="宋体" w:hAnsi="宋体"/>
        </w:rPr>
        <w:t>数据库系统备份规划和实施的主要内容包括：</w:t>
      </w:r>
    </w:p>
    <w:p>
      <w:pPr>
        <w:pStyle w:val="85"/>
        <w:numPr>
          <w:ilvl w:val="0"/>
          <w:numId w:val="7"/>
        </w:numPr>
        <w:ind w:firstLineChars="0"/>
        <w:rPr>
          <w:rFonts w:ascii="宋体" w:hAnsi="宋体"/>
        </w:rPr>
      </w:pPr>
      <w:r>
        <w:rPr>
          <w:rFonts w:hint="eastAsia" w:ascii="宋体" w:hAnsi="宋体"/>
        </w:rPr>
        <w:t xml:space="preserve">分析数据库运行模式以及业务实际运行情况，提供合适的备份策略； </w:t>
      </w:r>
    </w:p>
    <w:p>
      <w:pPr>
        <w:pStyle w:val="85"/>
        <w:numPr>
          <w:ilvl w:val="0"/>
          <w:numId w:val="7"/>
        </w:numPr>
        <w:ind w:firstLineChars="0"/>
        <w:rPr>
          <w:rFonts w:ascii="宋体" w:hAnsi="宋体"/>
        </w:rPr>
      </w:pPr>
      <w:r>
        <w:rPr>
          <w:rFonts w:hint="eastAsia" w:ascii="宋体" w:hAnsi="宋体"/>
        </w:rPr>
        <w:t xml:space="preserve">帮助用户实施制定好的备份方案，确保任务调度；确保备份能够切实有效的实施， 满足用户的数据保护需求； </w:t>
      </w:r>
    </w:p>
    <w:p>
      <w:pPr>
        <w:pStyle w:val="85"/>
        <w:numPr>
          <w:ilvl w:val="0"/>
          <w:numId w:val="7"/>
        </w:numPr>
        <w:ind w:firstLineChars="0"/>
        <w:rPr>
          <w:rFonts w:ascii="宋体" w:hAnsi="宋体"/>
        </w:rPr>
      </w:pPr>
      <w:r>
        <w:rPr>
          <w:rFonts w:hint="eastAsia" w:ascii="宋体" w:hAnsi="宋体"/>
        </w:rPr>
        <w:t>保证备份数据的可恢复性，搭建备份测试环境并检查备份数据的有效性；</w:t>
      </w:r>
    </w:p>
    <w:p>
      <w:pPr>
        <w:pStyle w:val="85"/>
        <w:numPr>
          <w:ilvl w:val="0"/>
          <w:numId w:val="7"/>
        </w:numPr>
        <w:ind w:firstLineChars="0"/>
        <w:rPr>
          <w:rFonts w:ascii="宋体" w:hAnsi="宋体"/>
        </w:rPr>
      </w:pPr>
      <w:r>
        <w:rPr>
          <w:rFonts w:hint="eastAsia" w:ascii="宋体" w:hAnsi="宋体"/>
        </w:rPr>
        <w:t>培训客户熟练掌握rman的使用方法；</w:t>
      </w:r>
    </w:p>
    <w:p>
      <w:pPr>
        <w:pStyle w:val="85"/>
        <w:numPr>
          <w:ilvl w:val="0"/>
          <w:numId w:val="7"/>
        </w:numPr>
        <w:ind w:firstLineChars="0"/>
        <w:rPr>
          <w:rFonts w:ascii="宋体" w:hAnsi="宋体"/>
        </w:rPr>
      </w:pPr>
      <w:r>
        <w:rPr>
          <w:rFonts w:hint="eastAsia" w:ascii="宋体" w:hAnsi="宋体"/>
        </w:rPr>
        <w:t>提供备份实施报告；</w:t>
      </w:r>
    </w:p>
    <w:p>
      <w:pPr>
        <w:pStyle w:val="85"/>
        <w:numPr>
          <w:ilvl w:val="0"/>
          <w:numId w:val="7"/>
        </w:numPr>
        <w:ind w:firstLineChars="0"/>
        <w:rPr>
          <w:rFonts w:ascii="宋体" w:hAnsi="宋体"/>
        </w:rPr>
      </w:pPr>
      <w:r>
        <w:rPr>
          <w:rFonts w:hint="eastAsia" w:ascii="宋体" w:hAnsi="宋体"/>
        </w:rPr>
        <w:t>提供备份恢复性测试报告。</w:t>
      </w:r>
    </w:p>
    <w:p>
      <w:pPr>
        <w:pStyle w:val="4"/>
        <w:numPr>
          <w:ilvl w:val="0"/>
          <w:numId w:val="0"/>
        </w:numPr>
      </w:pPr>
      <w:bookmarkStart w:id="89" w:name="_Toc512256121"/>
      <w:bookmarkStart w:id="90" w:name="_Toc386013909"/>
      <w:bookmarkStart w:id="91" w:name="_Toc99380914"/>
      <w:r>
        <w:rPr>
          <w:rFonts w:hint="eastAsia"/>
        </w:rPr>
        <w:t>3.</w:t>
      </w:r>
      <w:r>
        <w:t>3</w:t>
      </w:r>
      <w:r>
        <w:rPr>
          <w:rFonts w:hint="eastAsia"/>
        </w:rPr>
        <w:t>.</w:t>
      </w:r>
      <w:r>
        <w:t>7</w:t>
      </w:r>
      <w:r>
        <w:rPr>
          <w:rFonts w:hint="eastAsia"/>
        </w:rPr>
        <w:t>数据库日常管理培训服务</w:t>
      </w:r>
      <w:bookmarkEnd w:id="89"/>
      <w:bookmarkEnd w:id="90"/>
      <w:bookmarkEnd w:id="91"/>
    </w:p>
    <w:p>
      <w:pPr>
        <w:pStyle w:val="85"/>
        <w:rPr>
          <w:rFonts w:ascii="宋体" w:hAnsi="宋体"/>
        </w:rPr>
      </w:pPr>
      <w:r>
        <w:rPr>
          <w:rFonts w:hint="eastAsia" w:ascii="宋体" w:hAnsi="宋体"/>
        </w:rPr>
        <w:t>运维服务提供商结合日常运营常见问题，周期性主动式的开展一系列的数据库日常管理培训服务，提升用户的运维管理专业技术水平以及操作规范。进而降低故障发生概率以及提高问题处理效率。</w:t>
      </w:r>
    </w:p>
    <w:p>
      <w:pPr>
        <w:pStyle w:val="85"/>
        <w:rPr>
          <w:rFonts w:ascii="宋体" w:hAnsi="宋体"/>
        </w:rPr>
      </w:pPr>
      <w:r>
        <w:rPr>
          <w:rFonts w:hint="eastAsia" w:ascii="宋体" w:hAnsi="宋体"/>
        </w:rPr>
        <w:t>数据库日常管理培训服务包括：</w:t>
      </w:r>
    </w:p>
    <w:p>
      <w:pPr>
        <w:pStyle w:val="85"/>
        <w:numPr>
          <w:ilvl w:val="0"/>
          <w:numId w:val="7"/>
        </w:numPr>
        <w:ind w:firstLineChars="0"/>
        <w:rPr>
          <w:rFonts w:ascii="宋体" w:hAnsi="宋体"/>
        </w:rPr>
      </w:pPr>
      <w:r>
        <w:rPr>
          <w:rFonts w:hint="eastAsia" w:ascii="宋体" w:hAnsi="宋体"/>
        </w:rPr>
        <w:t>数据库日常管理维护培训；</w:t>
      </w:r>
    </w:p>
    <w:p>
      <w:pPr>
        <w:pStyle w:val="85"/>
        <w:numPr>
          <w:ilvl w:val="0"/>
          <w:numId w:val="7"/>
        </w:numPr>
        <w:ind w:firstLineChars="0"/>
        <w:rPr>
          <w:rFonts w:ascii="宋体" w:hAnsi="宋体"/>
        </w:rPr>
      </w:pPr>
      <w:r>
        <w:rPr>
          <w:rFonts w:hint="eastAsia" w:ascii="宋体" w:hAnsi="宋体"/>
        </w:rPr>
        <w:t>数据库集群软件日常管理维护培训；</w:t>
      </w:r>
    </w:p>
    <w:p>
      <w:pPr>
        <w:pStyle w:val="85"/>
        <w:numPr>
          <w:ilvl w:val="0"/>
          <w:numId w:val="7"/>
        </w:numPr>
        <w:ind w:firstLineChars="0"/>
        <w:rPr>
          <w:rFonts w:ascii="宋体" w:hAnsi="宋体"/>
        </w:rPr>
      </w:pPr>
      <w:r>
        <w:rPr>
          <w:rFonts w:hint="eastAsia" w:ascii="宋体" w:hAnsi="宋体"/>
        </w:rPr>
        <w:t>日常维护工具使用技巧。</w:t>
      </w:r>
    </w:p>
    <w:p>
      <w:pPr>
        <w:pStyle w:val="4"/>
        <w:numPr>
          <w:ilvl w:val="0"/>
          <w:numId w:val="0"/>
        </w:numPr>
      </w:pPr>
      <w:bookmarkStart w:id="92" w:name="_Toc386013910"/>
      <w:bookmarkStart w:id="93" w:name="_Toc99380915"/>
      <w:bookmarkStart w:id="94" w:name="_Toc512256122"/>
      <w:r>
        <w:rPr>
          <w:rFonts w:hint="eastAsia"/>
        </w:rPr>
        <w:t>3.</w:t>
      </w:r>
      <w:r>
        <w:t>3</w:t>
      </w:r>
      <w:r>
        <w:rPr>
          <w:rFonts w:hint="eastAsia"/>
        </w:rPr>
        <w:t>.</w:t>
      </w:r>
      <w:r>
        <w:t>8</w:t>
      </w:r>
      <w:r>
        <w:rPr>
          <w:rFonts w:hint="eastAsia"/>
        </w:rPr>
        <w:t>系统升级规划与实施服务</w:t>
      </w:r>
      <w:bookmarkEnd w:id="92"/>
      <w:bookmarkEnd w:id="93"/>
      <w:bookmarkEnd w:id="94"/>
    </w:p>
    <w:p>
      <w:pPr>
        <w:pStyle w:val="85"/>
        <w:rPr>
          <w:rFonts w:ascii="宋体" w:hAnsi="宋体"/>
        </w:rPr>
      </w:pPr>
      <w:r>
        <w:rPr>
          <w:rFonts w:hint="eastAsia" w:ascii="宋体" w:hAnsi="宋体"/>
        </w:rPr>
        <w:t>硬件、数据库和应用系统都处于不断的优化和变革当中，ORACLE不断推出新的技术来满足用户的需求，适当的数据库升级服务能够帮助用户获取经济有效的业务系统优化。</w:t>
      </w:r>
    </w:p>
    <w:p>
      <w:pPr>
        <w:pStyle w:val="85"/>
        <w:rPr>
          <w:rFonts w:ascii="宋体" w:hAnsi="宋体"/>
        </w:rPr>
      </w:pPr>
      <w:r>
        <w:rPr>
          <w:rFonts w:hint="eastAsia" w:ascii="宋体" w:hAnsi="宋体"/>
        </w:rPr>
        <w:t>运维服务提供商需协助用户进行升级方案的制定并完成方案实施，升级数据库软件或完成Patch应用。</w:t>
      </w:r>
    </w:p>
    <w:p>
      <w:pPr>
        <w:pStyle w:val="85"/>
        <w:rPr>
          <w:rFonts w:ascii="宋体" w:hAnsi="宋体"/>
        </w:rPr>
      </w:pPr>
      <w:r>
        <w:rPr>
          <w:rFonts w:hint="eastAsia" w:ascii="宋体" w:hAnsi="宋体"/>
        </w:rPr>
        <w:t>数据库软件的升级规划与实施服务包括：</w:t>
      </w:r>
    </w:p>
    <w:p>
      <w:pPr>
        <w:pStyle w:val="85"/>
        <w:numPr>
          <w:ilvl w:val="0"/>
          <w:numId w:val="7"/>
        </w:numPr>
        <w:ind w:firstLineChars="0"/>
        <w:rPr>
          <w:rFonts w:ascii="宋体" w:hAnsi="宋体"/>
        </w:rPr>
      </w:pPr>
      <w:r>
        <w:rPr>
          <w:rFonts w:hint="eastAsia" w:ascii="宋体" w:hAnsi="宋体"/>
        </w:rPr>
        <w:t>协助用户制定升级方案；</w:t>
      </w:r>
    </w:p>
    <w:p>
      <w:pPr>
        <w:pStyle w:val="85"/>
        <w:numPr>
          <w:ilvl w:val="0"/>
          <w:numId w:val="7"/>
        </w:numPr>
        <w:ind w:firstLineChars="0"/>
        <w:rPr>
          <w:rFonts w:ascii="宋体" w:hAnsi="宋体"/>
        </w:rPr>
      </w:pPr>
      <w:r>
        <w:rPr>
          <w:rFonts w:hint="eastAsia" w:ascii="宋体" w:hAnsi="宋体"/>
        </w:rPr>
        <w:t>协助用户评估升级方案；</w:t>
      </w:r>
    </w:p>
    <w:p>
      <w:pPr>
        <w:pStyle w:val="85"/>
        <w:numPr>
          <w:ilvl w:val="0"/>
          <w:numId w:val="7"/>
        </w:numPr>
        <w:ind w:firstLineChars="0"/>
        <w:rPr>
          <w:rFonts w:ascii="宋体" w:hAnsi="宋体"/>
        </w:rPr>
      </w:pPr>
      <w:r>
        <w:rPr>
          <w:rFonts w:hint="eastAsia" w:ascii="宋体" w:hAnsi="宋体"/>
        </w:rPr>
        <w:t>实施升级方案；</w:t>
      </w:r>
    </w:p>
    <w:p>
      <w:pPr>
        <w:pStyle w:val="85"/>
        <w:numPr>
          <w:ilvl w:val="0"/>
          <w:numId w:val="7"/>
        </w:numPr>
        <w:ind w:firstLineChars="0"/>
        <w:rPr>
          <w:rFonts w:ascii="宋体" w:hAnsi="宋体"/>
        </w:rPr>
      </w:pPr>
      <w:r>
        <w:rPr>
          <w:rFonts w:hint="eastAsia" w:ascii="宋体" w:hAnsi="宋体"/>
        </w:rPr>
        <w:t>完成升级操作；</w:t>
      </w:r>
    </w:p>
    <w:p>
      <w:pPr>
        <w:pStyle w:val="85"/>
        <w:numPr>
          <w:ilvl w:val="0"/>
          <w:numId w:val="7"/>
        </w:numPr>
        <w:ind w:firstLineChars="0"/>
        <w:rPr>
          <w:rFonts w:ascii="宋体" w:hAnsi="宋体"/>
        </w:rPr>
      </w:pPr>
      <w:r>
        <w:rPr>
          <w:rFonts w:hint="eastAsia" w:ascii="宋体" w:hAnsi="宋体"/>
        </w:rPr>
        <w:t>测试数据库升级数据的完整性；</w:t>
      </w:r>
    </w:p>
    <w:p>
      <w:pPr>
        <w:pStyle w:val="85"/>
        <w:numPr>
          <w:ilvl w:val="0"/>
          <w:numId w:val="7"/>
        </w:numPr>
        <w:ind w:firstLineChars="0"/>
        <w:rPr>
          <w:rFonts w:ascii="宋体" w:hAnsi="宋体"/>
        </w:rPr>
      </w:pPr>
      <w:r>
        <w:rPr>
          <w:rFonts w:hint="eastAsia" w:ascii="宋体" w:hAnsi="宋体"/>
        </w:rPr>
        <w:t>提供完整的数据库软件升级与Patch 应用报告。</w:t>
      </w:r>
    </w:p>
    <w:p>
      <w:pPr>
        <w:pStyle w:val="4"/>
        <w:numPr>
          <w:ilvl w:val="0"/>
          <w:numId w:val="0"/>
        </w:numPr>
      </w:pPr>
      <w:bookmarkStart w:id="95" w:name="_Toc512256123"/>
      <w:bookmarkStart w:id="96" w:name="_Toc386013911"/>
      <w:bookmarkStart w:id="97" w:name="_Toc99380916"/>
      <w:r>
        <w:rPr>
          <w:rFonts w:hint="eastAsia"/>
        </w:rPr>
        <w:t>3.</w:t>
      </w:r>
      <w:r>
        <w:t>3</w:t>
      </w:r>
      <w:r>
        <w:rPr>
          <w:rFonts w:hint="eastAsia"/>
        </w:rPr>
        <w:t>.</w:t>
      </w:r>
      <w:r>
        <w:t>8</w:t>
      </w:r>
      <w:r>
        <w:rPr>
          <w:rFonts w:hint="eastAsia"/>
        </w:rPr>
        <w:t>高级优化配置与性能调整</w:t>
      </w:r>
      <w:bookmarkEnd w:id="95"/>
      <w:bookmarkEnd w:id="96"/>
      <w:bookmarkEnd w:id="97"/>
    </w:p>
    <w:p>
      <w:pPr>
        <w:pStyle w:val="85"/>
        <w:rPr>
          <w:rFonts w:ascii="宋体" w:hAnsi="宋体"/>
        </w:rPr>
      </w:pPr>
      <w:r>
        <w:rPr>
          <w:rFonts w:hint="eastAsia" w:ascii="宋体" w:hAnsi="宋体"/>
        </w:rPr>
        <w:t>随着福建中医药大学数据中心各应用系统投入使用时间的增长，ORACLE数据库将会由于数据量的增加、用户数量的增加或应用的修改而导致数据库的性能降低。数据库性能降低后将导致应用响应慢、统计或报表计算时间加长和难于维护等不良影响。</w:t>
      </w:r>
    </w:p>
    <w:p>
      <w:pPr>
        <w:pStyle w:val="85"/>
        <w:rPr>
          <w:rFonts w:ascii="宋体" w:hAnsi="宋体"/>
        </w:rPr>
      </w:pPr>
      <w:r>
        <w:rPr>
          <w:rFonts w:hint="eastAsia" w:ascii="宋体" w:hAnsi="宋体"/>
        </w:rPr>
        <w:t>优化配置和性能调整的主要内容包括：</w:t>
      </w:r>
    </w:p>
    <w:p>
      <w:pPr>
        <w:pStyle w:val="85"/>
        <w:numPr>
          <w:ilvl w:val="0"/>
          <w:numId w:val="7"/>
        </w:numPr>
        <w:ind w:firstLineChars="0"/>
        <w:rPr>
          <w:rFonts w:ascii="宋体" w:hAnsi="宋体"/>
        </w:rPr>
      </w:pPr>
      <w:r>
        <w:rPr>
          <w:rFonts w:hint="eastAsia" w:ascii="宋体" w:hAnsi="宋体"/>
        </w:rPr>
        <w:t xml:space="preserve">分析用户的应用类型和用户行为； </w:t>
      </w:r>
    </w:p>
    <w:p>
      <w:pPr>
        <w:pStyle w:val="85"/>
        <w:numPr>
          <w:ilvl w:val="0"/>
          <w:numId w:val="7"/>
        </w:numPr>
        <w:ind w:firstLineChars="0"/>
        <w:rPr>
          <w:rFonts w:ascii="宋体" w:hAnsi="宋体"/>
        </w:rPr>
      </w:pPr>
      <w:r>
        <w:rPr>
          <w:rFonts w:hint="eastAsia" w:ascii="宋体" w:hAnsi="宋体"/>
        </w:rPr>
        <w:t xml:space="preserve">确立明确的调整目标； </w:t>
      </w:r>
    </w:p>
    <w:p>
      <w:pPr>
        <w:pStyle w:val="85"/>
        <w:numPr>
          <w:ilvl w:val="0"/>
          <w:numId w:val="7"/>
        </w:numPr>
        <w:ind w:firstLineChars="0"/>
        <w:rPr>
          <w:rFonts w:ascii="宋体" w:hAnsi="宋体"/>
        </w:rPr>
      </w:pPr>
      <w:r>
        <w:rPr>
          <w:rFonts w:hint="eastAsia" w:ascii="宋体" w:hAnsi="宋体"/>
        </w:rPr>
        <w:t xml:space="preserve">查找数据库运行瓶颈和原因； </w:t>
      </w:r>
    </w:p>
    <w:p>
      <w:pPr>
        <w:pStyle w:val="85"/>
        <w:numPr>
          <w:ilvl w:val="0"/>
          <w:numId w:val="7"/>
        </w:numPr>
        <w:ind w:firstLineChars="0"/>
        <w:rPr>
          <w:rFonts w:ascii="宋体" w:hAnsi="宋体"/>
        </w:rPr>
      </w:pPr>
      <w:r>
        <w:rPr>
          <w:rFonts w:hint="eastAsia" w:ascii="宋体" w:hAnsi="宋体"/>
        </w:rPr>
        <w:t xml:space="preserve">评价并修改 ORACLE 数据库的参数设置； </w:t>
      </w:r>
    </w:p>
    <w:p>
      <w:pPr>
        <w:pStyle w:val="85"/>
        <w:numPr>
          <w:ilvl w:val="0"/>
          <w:numId w:val="7"/>
        </w:numPr>
        <w:ind w:firstLineChars="0"/>
        <w:rPr>
          <w:rFonts w:ascii="宋体" w:hAnsi="宋体"/>
        </w:rPr>
      </w:pPr>
      <w:r>
        <w:rPr>
          <w:rFonts w:hint="eastAsia" w:ascii="宋体" w:hAnsi="宋体"/>
        </w:rPr>
        <w:t xml:space="preserve">评价并调整 ORACLE 数据库的数据分布； </w:t>
      </w:r>
    </w:p>
    <w:p>
      <w:pPr>
        <w:pStyle w:val="85"/>
        <w:numPr>
          <w:ilvl w:val="0"/>
          <w:numId w:val="7"/>
        </w:numPr>
        <w:ind w:firstLineChars="0"/>
        <w:rPr>
          <w:rFonts w:ascii="宋体" w:hAnsi="宋体"/>
        </w:rPr>
      </w:pPr>
      <w:r>
        <w:rPr>
          <w:rFonts w:hint="eastAsia" w:ascii="宋体" w:hAnsi="宋体"/>
        </w:rPr>
        <w:t xml:space="preserve">评价应用对硬件和系统的使用情况，并提出建议； </w:t>
      </w:r>
    </w:p>
    <w:p>
      <w:pPr>
        <w:pStyle w:val="85"/>
        <w:numPr>
          <w:ilvl w:val="0"/>
          <w:numId w:val="7"/>
        </w:numPr>
        <w:ind w:firstLineChars="0"/>
        <w:rPr>
          <w:rFonts w:ascii="宋体" w:hAnsi="宋体"/>
        </w:rPr>
      </w:pPr>
      <w:r>
        <w:rPr>
          <w:rFonts w:hint="eastAsia" w:ascii="宋体" w:hAnsi="宋体"/>
        </w:rPr>
        <w:t xml:space="preserve">利用先进的性能调整工具实施数据库的性能调整； </w:t>
      </w:r>
    </w:p>
    <w:p>
      <w:pPr>
        <w:pStyle w:val="85"/>
        <w:numPr>
          <w:ilvl w:val="0"/>
          <w:numId w:val="7"/>
        </w:numPr>
        <w:ind w:firstLineChars="0"/>
        <w:rPr>
          <w:rFonts w:ascii="宋体" w:hAnsi="宋体"/>
        </w:rPr>
      </w:pPr>
      <w:r>
        <w:rPr>
          <w:rFonts w:hint="eastAsia" w:ascii="宋体" w:hAnsi="宋体"/>
        </w:rPr>
        <w:t>通过收集信息对数据库进行性能分析，提供用户完整的性能调整报告和解决方法。</w:t>
      </w:r>
    </w:p>
    <w:bookmarkEnd w:id="0"/>
    <w:p>
      <w:pPr>
        <w:rPr>
          <w:rFonts w:hint="eastAsia" w:ascii="宋体" w:hAnsi="宋体"/>
        </w:rPr>
      </w:pPr>
    </w:p>
    <w:sectPr>
      <w:footerReference r:id="rId3" w:type="default"/>
      <w:footerReference r:id="rId4" w:type="even"/>
      <w:pgSz w:w="11906" w:h="16838"/>
      <w:pgMar w:top="1134" w:right="1701" w:bottom="1134" w:left="1701" w:header="851" w:footer="73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668724"/>
      <w:docPartObj>
        <w:docPartGallery w:val="autotext"/>
      </w:docPartObj>
    </w:sdtPr>
    <w:sdtContent>
      <w:p>
        <w:pPr>
          <w:pStyle w:val="19"/>
          <w:jc w:val="center"/>
        </w:pPr>
        <w:r>
          <w:fldChar w:fldCharType="begin"/>
        </w:r>
        <w:r>
          <w:instrText xml:space="preserve">PAGE   \* MERGEFORMAT</w:instrText>
        </w:r>
        <w:r>
          <w:fldChar w:fldCharType="separate"/>
        </w:r>
        <w:r>
          <w:rPr>
            <w:lang w:val="zh-CN"/>
          </w:rPr>
          <w:t>47</w:t>
        </w:r>
        <w:r>
          <w:fldChar w:fldCharType="end"/>
        </w:r>
      </w:p>
    </w:sdtContent>
  </w:sdt>
  <w:p>
    <w:pPr>
      <w:pStyle w:val="19"/>
      <w:ind w:right="360"/>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right" w:y="1"/>
      <w:rPr>
        <w:rStyle w:val="33"/>
      </w:rPr>
    </w:pPr>
    <w:r>
      <w:rPr>
        <w:rStyle w:val="33"/>
      </w:rPr>
      <w:fldChar w:fldCharType="begin"/>
    </w:r>
    <w:r>
      <w:rPr>
        <w:rStyle w:val="33"/>
      </w:rPr>
      <w:instrText xml:space="preserve">PAGE  </w:instrText>
    </w:r>
    <w:r>
      <w:rPr>
        <w:rStyle w:val="33"/>
      </w:rPr>
      <w:fldChar w:fldCharType="end"/>
    </w:r>
  </w:p>
  <w:p>
    <w:pPr>
      <w:pStyle w:val="19"/>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8626AD"/>
    <w:multiLevelType w:val="multilevel"/>
    <w:tmpl w:val="018626A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36651163"/>
    <w:multiLevelType w:val="multilevel"/>
    <w:tmpl w:val="36651163"/>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41DA16FF"/>
    <w:multiLevelType w:val="multilevel"/>
    <w:tmpl w:val="41DA16FF"/>
    <w:lvl w:ilvl="0" w:tentative="0">
      <w:start w:val="1"/>
      <w:numFmt w:val="japaneseCounting"/>
      <w:lvlText w:val="%1、"/>
      <w:lvlJc w:val="left"/>
      <w:pPr>
        <w:ind w:left="720" w:hanging="720"/>
      </w:pPr>
      <w:rPr>
        <w:rFonts w:hint="default"/>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1A1476C"/>
    <w:multiLevelType w:val="multilevel"/>
    <w:tmpl w:val="51A1476C"/>
    <w:lvl w:ilvl="0" w:tentative="0">
      <w:start w:val="1"/>
      <w:numFmt w:val="decimal"/>
      <w:lvlText w:val="第%1章"/>
      <w:lvlJc w:val="left"/>
      <w:pPr>
        <w:tabs>
          <w:tab w:val="left" w:pos="432"/>
        </w:tabs>
        <w:ind w:left="432" w:hanging="432"/>
      </w:pPr>
      <w:rPr>
        <w:rFonts w:hint="default" w:ascii="Times New Roman" w:hAnsi="Times New Roman" w:eastAsia="黑体"/>
        <w:sz w:val="44"/>
        <w:szCs w:val="44"/>
      </w:rPr>
    </w:lvl>
    <w:lvl w:ilvl="1" w:tentative="0">
      <w:start w:val="3"/>
      <w:numFmt w:val="decimal"/>
      <w:pStyle w:val="3"/>
      <w:lvlText w:val="%1.%2 "/>
      <w:lvlJc w:val="left"/>
      <w:pPr>
        <w:tabs>
          <w:tab w:val="left" w:pos="576"/>
        </w:tabs>
        <w:ind w:left="576" w:hanging="576"/>
      </w:pPr>
      <w:rPr>
        <w:rFonts w:hint="default" w:ascii="Times New Roman" w:hAnsi="Times New Roman" w:eastAsia="黑体" w:cs="Times New Roman"/>
        <w:sz w:val="32"/>
        <w:szCs w:val="32"/>
      </w:rPr>
    </w:lvl>
    <w:lvl w:ilvl="2" w:tentative="0">
      <w:start w:val="1"/>
      <w:numFmt w:val="decimal"/>
      <w:lvlText w:val="%1.%2.%3"/>
      <w:lvlJc w:val="left"/>
      <w:pPr>
        <w:tabs>
          <w:tab w:val="left" w:pos="720"/>
        </w:tabs>
        <w:ind w:left="720" w:hanging="720"/>
      </w:pPr>
      <w:rPr>
        <w:rFonts w:hint="eastAsia" w:ascii="Times New Roman" w:hAnsi="Times New Roman" w:eastAsia="宋体"/>
        <w:sz w:val="30"/>
        <w:szCs w:val="30"/>
      </w:rPr>
    </w:lvl>
    <w:lvl w:ilvl="3" w:tentative="0">
      <w:start w:val="1"/>
      <w:numFmt w:val="decimal"/>
      <w:pStyle w:val="5"/>
      <w:lvlText w:val="%1.%2.%3.%4"/>
      <w:lvlJc w:val="left"/>
      <w:pPr>
        <w:tabs>
          <w:tab w:val="left" w:pos="970"/>
        </w:tabs>
        <w:ind w:left="970" w:hanging="864"/>
      </w:pPr>
      <w:rPr>
        <w:rFonts w:hint="eastAsia" w:ascii="宋体" w:hAnsi="宋体" w:eastAsia="宋体"/>
        <w:b/>
        <w:bCs/>
        <w:i w:val="0"/>
        <w:iCs w:val="0"/>
        <w:caps w:val="0"/>
        <w:smallCaps w:val="0"/>
        <w:strike w:val="0"/>
        <w:dstrike w:val="0"/>
        <w:color w:val="auto"/>
        <w:spacing w:val="0"/>
        <w:w w:val="100"/>
        <w:kern w:val="2"/>
        <w:position w:val="0"/>
        <w:sz w:val="24"/>
        <w:u w:val="none"/>
        <w:shd w:val="clear" w:color="auto" w:fill="auto"/>
        <w14:shadow w14:blurRad="0" w14:dist="0" w14:dir="0" w14:sx="0" w14:sy="0" w14:kx="0" w14:ky="0" w14:algn="none">
          <w14:srgbClr w14:val="000000"/>
        </w14:shadow>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534E1943"/>
    <w:multiLevelType w:val="multilevel"/>
    <w:tmpl w:val="534E1943"/>
    <w:lvl w:ilvl="0" w:tentative="0">
      <w:start w:val="1"/>
      <w:numFmt w:val="bullet"/>
      <w:lvlText w:val=""/>
      <w:lvlJc w:val="left"/>
      <w:pPr>
        <w:tabs>
          <w:tab w:val="left" w:pos="900"/>
        </w:tabs>
        <w:ind w:left="900" w:hanging="420"/>
      </w:pPr>
      <w:rPr>
        <w:rFonts w:hint="default" w:ascii="Wingdings" w:hAnsi="Wingdings"/>
      </w:rPr>
    </w:lvl>
    <w:lvl w:ilvl="1" w:tentative="0">
      <w:start w:val="1"/>
      <w:numFmt w:val="decimal"/>
      <w:lvlText w:val="%2."/>
      <w:lvlJc w:val="left"/>
      <w:pPr>
        <w:tabs>
          <w:tab w:val="left" w:pos="1320"/>
        </w:tabs>
        <w:ind w:left="1320" w:hanging="420"/>
      </w:pPr>
      <w:rPr>
        <w:rFonts w:hint="default"/>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5">
    <w:nsid w:val="67DE6F90"/>
    <w:multiLevelType w:val="singleLevel"/>
    <w:tmpl w:val="67DE6F90"/>
    <w:lvl w:ilvl="0" w:tentative="0">
      <w:start w:val="1"/>
      <w:numFmt w:val="bullet"/>
      <w:pStyle w:val="81"/>
      <w:lvlText w:val=""/>
      <w:lvlJc w:val="left"/>
      <w:pPr>
        <w:tabs>
          <w:tab w:val="left" w:pos="1080"/>
        </w:tabs>
        <w:ind w:left="1080" w:hanging="360"/>
      </w:pPr>
      <w:rPr>
        <w:rFonts w:hint="default" w:ascii="Symbol" w:hAnsi="Symbol"/>
        <w:b w:val="0"/>
        <w:i w:val="0"/>
        <w:sz w:val="24"/>
      </w:rPr>
    </w:lvl>
  </w:abstractNum>
  <w:abstractNum w:abstractNumId="6">
    <w:nsid w:val="725E4315"/>
    <w:multiLevelType w:val="multilevel"/>
    <w:tmpl w:val="725E4315"/>
    <w:lvl w:ilvl="0" w:tentative="0">
      <w:start w:val="1"/>
      <w:numFmt w:val="decimal"/>
      <w:suff w:val="space"/>
      <w:lvlText w:val="第%1章."/>
      <w:lvlJc w:val="left"/>
      <w:pPr>
        <w:ind w:left="0" w:firstLine="0"/>
      </w:pPr>
      <w:rPr>
        <w:rFonts w:hint="eastAsia"/>
        <w:b/>
        <w:i w:val="0"/>
      </w:rPr>
    </w:lvl>
    <w:lvl w:ilvl="1" w:tentative="0">
      <w:start w:val="1"/>
      <w:numFmt w:val="decimal"/>
      <w:isLgl/>
      <w:suff w:val="space"/>
      <w:lvlText w:val="%1.%2"/>
      <w:lvlJc w:val="left"/>
      <w:rPr>
        <w:rFonts w:hint="eastAsia"/>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2" w:tentative="0">
      <w:start w:val="1"/>
      <w:numFmt w:val="decimal"/>
      <w:pStyle w:val="4"/>
      <w:isLgl/>
      <w:suff w:val="space"/>
      <w:lvlText w:val="%1.%2.%3"/>
      <w:lvlJc w:val="left"/>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isLgl/>
      <w:suff w:val="space"/>
      <w:lvlText w:val="%1.%2.%3.%4"/>
      <w:lvlJc w:val="left"/>
      <w:rPr>
        <w:rFonts w:hint="eastAsia"/>
        <w:b/>
        <w:bCs w:val="0"/>
        <w:i w:val="0"/>
        <w:iCs w:val="0"/>
        <w: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4" w:tentative="0">
      <w:start w:val="1"/>
      <w:numFmt w:val="decimal"/>
      <w:isLgl/>
      <w:suff w:val="space"/>
      <w:lvlText w:val="%1.%2.%3.%4.%5"/>
      <w:lvlJc w:val="left"/>
      <w:rPr>
        <w:rFonts w:hint="eastAsia"/>
        <w:b/>
        <w:bCs w:val="0"/>
        <w:i w:val="0"/>
        <w:iCs w:val="0"/>
        <w: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5" w:tentative="0">
      <w:start w:val="1"/>
      <w:numFmt w:val="decimal"/>
      <w:isLgl/>
      <w:suff w:val="space"/>
      <w:lvlText w:val="%1.%2.%3.%4.%5.%6"/>
      <w:lvlJc w:val="left"/>
      <w:rPr>
        <w:rFonts w:hint="eastAsia"/>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6" w:tentative="0">
      <w:start w:val="1"/>
      <w:numFmt w:val="decimal"/>
      <w:isLgl/>
      <w:suff w:val="space"/>
      <w:lvlText w:val="%1.%2.%3.%4.%5.%6.%7"/>
      <w:lvlJc w:val="left"/>
      <w:pPr>
        <w:ind w:left="0" w:firstLine="0"/>
      </w:pPr>
      <w:rPr>
        <w:rFonts w:hint="eastAsia"/>
        <w:b/>
        <w:i w:val="0"/>
      </w:rPr>
    </w:lvl>
    <w:lvl w:ilvl="7" w:tentative="0">
      <w:start w:val="1"/>
      <w:numFmt w:val="decimal"/>
      <w:isLgl/>
      <w:lvlText w:val="%1.%2.%3.%4.%5.%6.%7.%8"/>
      <w:lvlJc w:val="left"/>
      <w:pPr>
        <w:ind w:left="420" w:hanging="420"/>
      </w:pPr>
      <w:rPr>
        <w:rFonts w:hint="eastAsia"/>
      </w:rPr>
    </w:lvl>
    <w:lvl w:ilvl="8" w:tentative="0">
      <w:start w:val="1"/>
      <w:numFmt w:val="decimal"/>
      <w:isLgl/>
      <w:lvlText w:val="%1.%2.%3.%4.%5.%6.%7.%8.%9"/>
      <w:lvlJc w:val="left"/>
      <w:pPr>
        <w:ind w:left="420" w:hanging="420"/>
      </w:pPr>
      <w:rPr>
        <w:rFonts w:hint="eastAsia"/>
      </w:rPr>
    </w:lvl>
  </w:abstractNum>
  <w:num w:numId="1">
    <w:abstractNumId w:val="3"/>
  </w:num>
  <w:num w:numId="2">
    <w:abstractNumId w:val="6"/>
  </w:num>
  <w:num w:numId="3">
    <w:abstractNumId w:val="5"/>
  </w:num>
  <w:num w:numId="4">
    <w:abstractNumId w:val="2"/>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hmNWYwN2IwZGNkOGNiOWY3NDQ2OGNmNTdjMDAxNTUifQ=="/>
  </w:docVars>
  <w:rsids>
    <w:rsidRoot w:val="007C1AAF"/>
    <w:rsid w:val="000231FC"/>
    <w:rsid w:val="00033F9E"/>
    <w:rsid w:val="00046D9A"/>
    <w:rsid w:val="00051A1B"/>
    <w:rsid w:val="000645B2"/>
    <w:rsid w:val="000655F2"/>
    <w:rsid w:val="00080D59"/>
    <w:rsid w:val="000858CF"/>
    <w:rsid w:val="00087606"/>
    <w:rsid w:val="00093786"/>
    <w:rsid w:val="0009521D"/>
    <w:rsid w:val="00095F8A"/>
    <w:rsid w:val="000A24AA"/>
    <w:rsid w:val="000A415B"/>
    <w:rsid w:val="000A450A"/>
    <w:rsid w:val="000B1499"/>
    <w:rsid w:val="000B46E8"/>
    <w:rsid w:val="000C2EF7"/>
    <w:rsid w:val="000D35A9"/>
    <w:rsid w:val="000E443B"/>
    <w:rsid w:val="000F1C02"/>
    <w:rsid w:val="000F2812"/>
    <w:rsid w:val="001066A7"/>
    <w:rsid w:val="00111DD8"/>
    <w:rsid w:val="00112A9A"/>
    <w:rsid w:val="001158BF"/>
    <w:rsid w:val="0012017D"/>
    <w:rsid w:val="001273A1"/>
    <w:rsid w:val="0013139F"/>
    <w:rsid w:val="001365A3"/>
    <w:rsid w:val="00141037"/>
    <w:rsid w:val="0014721C"/>
    <w:rsid w:val="00147DCC"/>
    <w:rsid w:val="0015164A"/>
    <w:rsid w:val="0016367E"/>
    <w:rsid w:val="001670AA"/>
    <w:rsid w:val="00172584"/>
    <w:rsid w:val="00172C4E"/>
    <w:rsid w:val="0017432E"/>
    <w:rsid w:val="001852B1"/>
    <w:rsid w:val="0018736C"/>
    <w:rsid w:val="00187835"/>
    <w:rsid w:val="001967DF"/>
    <w:rsid w:val="001A04E6"/>
    <w:rsid w:val="001A3031"/>
    <w:rsid w:val="001A67EF"/>
    <w:rsid w:val="001B1474"/>
    <w:rsid w:val="001B238D"/>
    <w:rsid w:val="001C2C43"/>
    <w:rsid w:val="001C3043"/>
    <w:rsid w:val="001C3F4A"/>
    <w:rsid w:val="001D44AE"/>
    <w:rsid w:val="001F41C7"/>
    <w:rsid w:val="001F7404"/>
    <w:rsid w:val="00210CC0"/>
    <w:rsid w:val="00217CBF"/>
    <w:rsid w:val="002257C3"/>
    <w:rsid w:val="002420DD"/>
    <w:rsid w:val="00250F7A"/>
    <w:rsid w:val="00253263"/>
    <w:rsid w:val="00254485"/>
    <w:rsid w:val="002547DF"/>
    <w:rsid w:val="00261F08"/>
    <w:rsid w:val="002706E7"/>
    <w:rsid w:val="00276CAD"/>
    <w:rsid w:val="002849D2"/>
    <w:rsid w:val="00284D68"/>
    <w:rsid w:val="002914B1"/>
    <w:rsid w:val="002A031D"/>
    <w:rsid w:val="002A7417"/>
    <w:rsid w:val="002D4B99"/>
    <w:rsid w:val="002D54FC"/>
    <w:rsid w:val="002D6F12"/>
    <w:rsid w:val="002E526B"/>
    <w:rsid w:val="002F0C3C"/>
    <w:rsid w:val="00301CAF"/>
    <w:rsid w:val="003041A8"/>
    <w:rsid w:val="003129A7"/>
    <w:rsid w:val="00313E5F"/>
    <w:rsid w:val="003245CD"/>
    <w:rsid w:val="00351BAE"/>
    <w:rsid w:val="00354C8E"/>
    <w:rsid w:val="0037058D"/>
    <w:rsid w:val="00372540"/>
    <w:rsid w:val="00392881"/>
    <w:rsid w:val="003B00B2"/>
    <w:rsid w:val="003B07E0"/>
    <w:rsid w:val="003C04D4"/>
    <w:rsid w:val="003C66DD"/>
    <w:rsid w:val="003E48A8"/>
    <w:rsid w:val="004038DD"/>
    <w:rsid w:val="00414976"/>
    <w:rsid w:val="00422C18"/>
    <w:rsid w:val="00440CE1"/>
    <w:rsid w:val="004454AD"/>
    <w:rsid w:val="00463B98"/>
    <w:rsid w:val="0049187F"/>
    <w:rsid w:val="004A4D17"/>
    <w:rsid w:val="004C095A"/>
    <w:rsid w:val="004D527F"/>
    <w:rsid w:val="004D615A"/>
    <w:rsid w:val="004E0228"/>
    <w:rsid w:val="004E2210"/>
    <w:rsid w:val="004E631C"/>
    <w:rsid w:val="004E64EB"/>
    <w:rsid w:val="00500AF6"/>
    <w:rsid w:val="00520204"/>
    <w:rsid w:val="00533990"/>
    <w:rsid w:val="00534F2B"/>
    <w:rsid w:val="00544D23"/>
    <w:rsid w:val="00546304"/>
    <w:rsid w:val="00551C70"/>
    <w:rsid w:val="00552F71"/>
    <w:rsid w:val="00574444"/>
    <w:rsid w:val="00577065"/>
    <w:rsid w:val="005A7C47"/>
    <w:rsid w:val="005B35BE"/>
    <w:rsid w:val="005B7689"/>
    <w:rsid w:val="005B79AE"/>
    <w:rsid w:val="005C352B"/>
    <w:rsid w:val="005C4622"/>
    <w:rsid w:val="005E0BA2"/>
    <w:rsid w:val="005E37A1"/>
    <w:rsid w:val="005F66F2"/>
    <w:rsid w:val="00617B82"/>
    <w:rsid w:val="00617BCF"/>
    <w:rsid w:val="00633A52"/>
    <w:rsid w:val="006362E9"/>
    <w:rsid w:val="00660C07"/>
    <w:rsid w:val="006745D3"/>
    <w:rsid w:val="0068627D"/>
    <w:rsid w:val="006A3A7A"/>
    <w:rsid w:val="006B15C4"/>
    <w:rsid w:val="006B54B5"/>
    <w:rsid w:val="006C288D"/>
    <w:rsid w:val="006C29D7"/>
    <w:rsid w:val="006C2DFB"/>
    <w:rsid w:val="006C3680"/>
    <w:rsid w:val="006C78B1"/>
    <w:rsid w:val="006D1FA2"/>
    <w:rsid w:val="006D5964"/>
    <w:rsid w:val="006E106D"/>
    <w:rsid w:val="006E5193"/>
    <w:rsid w:val="006F5D8F"/>
    <w:rsid w:val="00705D59"/>
    <w:rsid w:val="00713E8E"/>
    <w:rsid w:val="00716BB9"/>
    <w:rsid w:val="00720A5B"/>
    <w:rsid w:val="007255C2"/>
    <w:rsid w:val="00757CDF"/>
    <w:rsid w:val="00766620"/>
    <w:rsid w:val="00772B57"/>
    <w:rsid w:val="0078033E"/>
    <w:rsid w:val="00796D4D"/>
    <w:rsid w:val="007A048A"/>
    <w:rsid w:val="007A3CB6"/>
    <w:rsid w:val="007A428E"/>
    <w:rsid w:val="007A6F14"/>
    <w:rsid w:val="007C0FAC"/>
    <w:rsid w:val="007C1AAF"/>
    <w:rsid w:val="007C28D1"/>
    <w:rsid w:val="007C56DF"/>
    <w:rsid w:val="007D3D11"/>
    <w:rsid w:val="007E27EF"/>
    <w:rsid w:val="007E6C3E"/>
    <w:rsid w:val="007E70A7"/>
    <w:rsid w:val="007F2C60"/>
    <w:rsid w:val="007F6499"/>
    <w:rsid w:val="007F65A3"/>
    <w:rsid w:val="0080032E"/>
    <w:rsid w:val="0080374B"/>
    <w:rsid w:val="00810524"/>
    <w:rsid w:val="00823680"/>
    <w:rsid w:val="00825E00"/>
    <w:rsid w:val="00834609"/>
    <w:rsid w:val="0084310B"/>
    <w:rsid w:val="008439D9"/>
    <w:rsid w:val="00851569"/>
    <w:rsid w:val="0085189E"/>
    <w:rsid w:val="00852E89"/>
    <w:rsid w:val="00877061"/>
    <w:rsid w:val="00881C90"/>
    <w:rsid w:val="00882B8F"/>
    <w:rsid w:val="00886C21"/>
    <w:rsid w:val="00886FD5"/>
    <w:rsid w:val="00890414"/>
    <w:rsid w:val="00894654"/>
    <w:rsid w:val="00895ADE"/>
    <w:rsid w:val="008A0B02"/>
    <w:rsid w:val="008D10CD"/>
    <w:rsid w:val="008D1545"/>
    <w:rsid w:val="008D2854"/>
    <w:rsid w:val="008D3B42"/>
    <w:rsid w:val="008F2CCD"/>
    <w:rsid w:val="008F300C"/>
    <w:rsid w:val="008F63C6"/>
    <w:rsid w:val="00911577"/>
    <w:rsid w:val="00915EA7"/>
    <w:rsid w:val="00930C03"/>
    <w:rsid w:val="00940F18"/>
    <w:rsid w:val="00957A34"/>
    <w:rsid w:val="00961F4B"/>
    <w:rsid w:val="00967C91"/>
    <w:rsid w:val="009709A0"/>
    <w:rsid w:val="00991379"/>
    <w:rsid w:val="00992759"/>
    <w:rsid w:val="00995289"/>
    <w:rsid w:val="009A52AE"/>
    <w:rsid w:val="009B08C6"/>
    <w:rsid w:val="009D1503"/>
    <w:rsid w:val="009D32D1"/>
    <w:rsid w:val="009F0B44"/>
    <w:rsid w:val="009F634B"/>
    <w:rsid w:val="00A253A0"/>
    <w:rsid w:val="00A322A7"/>
    <w:rsid w:val="00A418F7"/>
    <w:rsid w:val="00A443AA"/>
    <w:rsid w:val="00A44F37"/>
    <w:rsid w:val="00A45729"/>
    <w:rsid w:val="00A468C4"/>
    <w:rsid w:val="00A53E6E"/>
    <w:rsid w:val="00A54AE7"/>
    <w:rsid w:val="00A61BC5"/>
    <w:rsid w:val="00A710AC"/>
    <w:rsid w:val="00A84631"/>
    <w:rsid w:val="00A85835"/>
    <w:rsid w:val="00AA0FDA"/>
    <w:rsid w:val="00AA219A"/>
    <w:rsid w:val="00AA2887"/>
    <w:rsid w:val="00AB43D5"/>
    <w:rsid w:val="00AC1929"/>
    <w:rsid w:val="00AD19FD"/>
    <w:rsid w:val="00AE0391"/>
    <w:rsid w:val="00AF0BFD"/>
    <w:rsid w:val="00AF4103"/>
    <w:rsid w:val="00AF605D"/>
    <w:rsid w:val="00B026FB"/>
    <w:rsid w:val="00B03655"/>
    <w:rsid w:val="00B11BFB"/>
    <w:rsid w:val="00B264EB"/>
    <w:rsid w:val="00B317DC"/>
    <w:rsid w:val="00B45845"/>
    <w:rsid w:val="00B51C04"/>
    <w:rsid w:val="00B61726"/>
    <w:rsid w:val="00B65B08"/>
    <w:rsid w:val="00B72CF2"/>
    <w:rsid w:val="00B836B5"/>
    <w:rsid w:val="00B83D51"/>
    <w:rsid w:val="00B87E5E"/>
    <w:rsid w:val="00BC0B33"/>
    <w:rsid w:val="00BC2ECE"/>
    <w:rsid w:val="00BC35CB"/>
    <w:rsid w:val="00C035ED"/>
    <w:rsid w:val="00C070EF"/>
    <w:rsid w:val="00C107B8"/>
    <w:rsid w:val="00C1341B"/>
    <w:rsid w:val="00C177A0"/>
    <w:rsid w:val="00C2092C"/>
    <w:rsid w:val="00C24043"/>
    <w:rsid w:val="00C251A3"/>
    <w:rsid w:val="00C27B6A"/>
    <w:rsid w:val="00C31DE4"/>
    <w:rsid w:val="00C32BF4"/>
    <w:rsid w:val="00C33D5B"/>
    <w:rsid w:val="00C40608"/>
    <w:rsid w:val="00C45C8C"/>
    <w:rsid w:val="00C47380"/>
    <w:rsid w:val="00C556BE"/>
    <w:rsid w:val="00C63FBA"/>
    <w:rsid w:val="00C70E9A"/>
    <w:rsid w:val="00C9501D"/>
    <w:rsid w:val="00C95887"/>
    <w:rsid w:val="00CA0D78"/>
    <w:rsid w:val="00CB2F7B"/>
    <w:rsid w:val="00CB53EE"/>
    <w:rsid w:val="00CD6B93"/>
    <w:rsid w:val="00CE4CD3"/>
    <w:rsid w:val="00D11774"/>
    <w:rsid w:val="00D23194"/>
    <w:rsid w:val="00D326C8"/>
    <w:rsid w:val="00D401A6"/>
    <w:rsid w:val="00D41E3F"/>
    <w:rsid w:val="00D435A3"/>
    <w:rsid w:val="00D47680"/>
    <w:rsid w:val="00D50BB6"/>
    <w:rsid w:val="00D51077"/>
    <w:rsid w:val="00D5556C"/>
    <w:rsid w:val="00D702F9"/>
    <w:rsid w:val="00D70957"/>
    <w:rsid w:val="00D7411E"/>
    <w:rsid w:val="00D7666B"/>
    <w:rsid w:val="00D86C37"/>
    <w:rsid w:val="00D91278"/>
    <w:rsid w:val="00D914E1"/>
    <w:rsid w:val="00D965BF"/>
    <w:rsid w:val="00DA0EB4"/>
    <w:rsid w:val="00DB4536"/>
    <w:rsid w:val="00DB557C"/>
    <w:rsid w:val="00DC4594"/>
    <w:rsid w:val="00DC4AF2"/>
    <w:rsid w:val="00DD10FC"/>
    <w:rsid w:val="00DE20CB"/>
    <w:rsid w:val="00E035AF"/>
    <w:rsid w:val="00E102FE"/>
    <w:rsid w:val="00E412C8"/>
    <w:rsid w:val="00E42E8E"/>
    <w:rsid w:val="00E43297"/>
    <w:rsid w:val="00E52055"/>
    <w:rsid w:val="00E726D5"/>
    <w:rsid w:val="00E75E9F"/>
    <w:rsid w:val="00E76AFF"/>
    <w:rsid w:val="00E805E0"/>
    <w:rsid w:val="00E86935"/>
    <w:rsid w:val="00E91BD6"/>
    <w:rsid w:val="00E97C09"/>
    <w:rsid w:val="00EA76F1"/>
    <w:rsid w:val="00EB7E6A"/>
    <w:rsid w:val="00ED5377"/>
    <w:rsid w:val="00ED7559"/>
    <w:rsid w:val="00EE5288"/>
    <w:rsid w:val="00EF6B9D"/>
    <w:rsid w:val="00F012C8"/>
    <w:rsid w:val="00F043D7"/>
    <w:rsid w:val="00F12541"/>
    <w:rsid w:val="00F12712"/>
    <w:rsid w:val="00F12857"/>
    <w:rsid w:val="00F165BE"/>
    <w:rsid w:val="00F20213"/>
    <w:rsid w:val="00F251BC"/>
    <w:rsid w:val="00F27314"/>
    <w:rsid w:val="00F36A1B"/>
    <w:rsid w:val="00F42CDA"/>
    <w:rsid w:val="00F60950"/>
    <w:rsid w:val="00F746BD"/>
    <w:rsid w:val="00F86351"/>
    <w:rsid w:val="00F91371"/>
    <w:rsid w:val="00FE12C4"/>
    <w:rsid w:val="00FE2732"/>
    <w:rsid w:val="00FE5AFA"/>
    <w:rsid w:val="00FF157C"/>
    <w:rsid w:val="00FF4C39"/>
    <w:rsid w:val="04211E75"/>
    <w:rsid w:val="053A5004"/>
    <w:rsid w:val="0FBB6B45"/>
    <w:rsid w:val="13D6744E"/>
    <w:rsid w:val="2D6E573F"/>
    <w:rsid w:val="30BA6D84"/>
    <w:rsid w:val="46B96A7A"/>
    <w:rsid w:val="55FA0EFC"/>
    <w:rsid w:val="5AEB6895"/>
    <w:rsid w:val="65132D33"/>
    <w:rsid w:val="728946EE"/>
    <w:rsid w:val="744E6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4"/>
      <w:lang w:val="en-US" w:eastAsia="zh-CN" w:bidi="ar-SA"/>
    </w:rPr>
  </w:style>
  <w:style w:type="paragraph" w:styleId="2">
    <w:name w:val="heading 1"/>
    <w:basedOn w:val="1"/>
    <w:next w:val="1"/>
    <w:link w:val="36"/>
    <w:qFormat/>
    <w:uiPriority w:val="0"/>
    <w:pPr>
      <w:keepNext/>
      <w:keepLines/>
      <w:spacing w:before="340" w:after="330" w:line="576" w:lineRule="auto"/>
      <w:outlineLvl w:val="0"/>
    </w:pPr>
    <w:rPr>
      <w:rFonts w:cs="Times New Roman"/>
      <w:kern w:val="44"/>
      <w:sz w:val="44"/>
      <w:szCs w:val="44"/>
    </w:rPr>
  </w:style>
  <w:style w:type="paragraph" w:styleId="3">
    <w:name w:val="heading 2"/>
    <w:basedOn w:val="1"/>
    <w:next w:val="1"/>
    <w:link w:val="37"/>
    <w:qFormat/>
    <w:uiPriority w:val="0"/>
    <w:pPr>
      <w:keepNext/>
      <w:keepLines/>
      <w:numPr>
        <w:ilvl w:val="1"/>
        <w:numId w:val="1"/>
      </w:numPr>
      <w:tabs>
        <w:tab w:val="left" w:pos="432"/>
      </w:tabs>
      <w:spacing w:line="360" w:lineRule="auto"/>
      <w:outlineLvl w:val="1"/>
    </w:pPr>
    <w:rPr>
      <w:rFonts w:ascii="宋体" w:hAnsi="宋体" w:cs="Times New Roman"/>
      <w:b/>
      <w:sz w:val="30"/>
      <w:szCs w:val="30"/>
    </w:rPr>
  </w:style>
  <w:style w:type="paragraph" w:styleId="4">
    <w:name w:val="heading 3"/>
    <w:basedOn w:val="1"/>
    <w:next w:val="1"/>
    <w:link w:val="38"/>
    <w:qFormat/>
    <w:uiPriority w:val="9"/>
    <w:pPr>
      <w:keepNext/>
      <w:keepLines/>
      <w:numPr>
        <w:ilvl w:val="2"/>
        <w:numId w:val="2"/>
      </w:numPr>
      <w:spacing w:before="260" w:after="260" w:line="416" w:lineRule="auto"/>
      <w:outlineLvl w:val="2"/>
    </w:pPr>
    <w:rPr>
      <w:rFonts w:ascii="宋体" w:hAnsi="宋体" w:cs="Times New Roman"/>
      <w:b/>
      <w:color w:val="000000"/>
      <w:sz w:val="30"/>
      <w:szCs w:val="30"/>
    </w:rPr>
  </w:style>
  <w:style w:type="paragraph" w:styleId="5">
    <w:name w:val="heading 4"/>
    <w:basedOn w:val="1"/>
    <w:next w:val="1"/>
    <w:link w:val="39"/>
    <w:qFormat/>
    <w:uiPriority w:val="0"/>
    <w:pPr>
      <w:numPr>
        <w:ilvl w:val="3"/>
        <w:numId w:val="1"/>
      </w:numPr>
      <w:tabs>
        <w:tab w:val="left" w:pos="432"/>
      </w:tabs>
      <w:outlineLvl w:val="3"/>
    </w:pPr>
    <w:rPr>
      <w:rFonts w:cs="Times New Roman"/>
      <w:b/>
      <w:bCs/>
      <w:sz w:val="28"/>
    </w:rPr>
  </w:style>
  <w:style w:type="paragraph" w:styleId="6">
    <w:name w:val="heading 5"/>
    <w:basedOn w:val="1"/>
    <w:next w:val="1"/>
    <w:link w:val="40"/>
    <w:qFormat/>
    <w:uiPriority w:val="0"/>
    <w:pPr>
      <w:keepNext/>
      <w:keepLines/>
      <w:numPr>
        <w:ilvl w:val="4"/>
        <w:numId w:val="1"/>
      </w:numPr>
      <w:tabs>
        <w:tab w:val="left" w:pos="432"/>
      </w:tabs>
      <w:spacing w:before="280" w:after="290" w:line="374" w:lineRule="auto"/>
      <w:outlineLvl w:val="4"/>
    </w:pPr>
    <w:rPr>
      <w:rFonts w:cs="Times New Roman"/>
      <w:sz w:val="28"/>
      <w:szCs w:val="28"/>
    </w:rPr>
  </w:style>
  <w:style w:type="paragraph" w:styleId="7">
    <w:name w:val="heading 6"/>
    <w:basedOn w:val="1"/>
    <w:next w:val="1"/>
    <w:link w:val="41"/>
    <w:qFormat/>
    <w:uiPriority w:val="0"/>
    <w:pPr>
      <w:keepNext/>
      <w:keepLines/>
      <w:numPr>
        <w:ilvl w:val="5"/>
        <w:numId w:val="1"/>
      </w:numPr>
      <w:tabs>
        <w:tab w:val="left" w:pos="432"/>
      </w:tabs>
      <w:spacing w:before="240" w:after="64" w:line="319" w:lineRule="auto"/>
      <w:outlineLvl w:val="5"/>
    </w:pPr>
    <w:rPr>
      <w:rFonts w:ascii="Arial" w:hAnsi="Arial" w:eastAsia="黑体" w:cs="Times New Roman"/>
      <w:sz w:val="24"/>
    </w:rPr>
  </w:style>
  <w:style w:type="paragraph" w:styleId="8">
    <w:name w:val="heading 7"/>
    <w:basedOn w:val="1"/>
    <w:next w:val="1"/>
    <w:link w:val="42"/>
    <w:qFormat/>
    <w:uiPriority w:val="0"/>
    <w:pPr>
      <w:keepNext/>
      <w:keepLines/>
      <w:numPr>
        <w:ilvl w:val="6"/>
        <w:numId w:val="1"/>
      </w:numPr>
      <w:tabs>
        <w:tab w:val="left" w:pos="432"/>
      </w:tabs>
      <w:spacing w:before="240" w:after="64" w:line="319" w:lineRule="auto"/>
      <w:outlineLvl w:val="6"/>
    </w:pPr>
    <w:rPr>
      <w:rFonts w:cs="Times New Roman"/>
      <w:b/>
      <w:bCs/>
      <w:sz w:val="24"/>
    </w:rPr>
  </w:style>
  <w:style w:type="paragraph" w:styleId="9">
    <w:name w:val="heading 8"/>
    <w:basedOn w:val="1"/>
    <w:next w:val="1"/>
    <w:link w:val="43"/>
    <w:qFormat/>
    <w:uiPriority w:val="0"/>
    <w:pPr>
      <w:keepNext/>
      <w:keepLines/>
      <w:numPr>
        <w:ilvl w:val="7"/>
        <w:numId w:val="1"/>
      </w:numPr>
      <w:tabs>
        <w:tab w:val="left" w:pos="432"/>
      </w:tabs>
      <w:spacing w:before="240" w:after="64" w:line="319" w:lineRule="auto"/>
      <w:outlineLvl w:val="7"/>
    </w:pPr>
    <w:rPr>
      <w:rFonts w:ascii="Arial" w:hAnsi="Arial" w:eastAsia="黑体" w:cs="Times New Roman"/>
      <w:sz w:val="24"/>
    </w:rPr>
  </w:style>
  <w:style w:type="paragraph" w:styleId="10">
    <w:name w:val="heading 9"/>
    <w:basedOn w:val="1"/>
    <w:next w:val="1"/>
    <w:link w:val="44"/>
    <w:qFormat/>
    <w:uiPriority w:val="0"/>
    <w:pPr>
      <w:keepNext/>
      <w:keepLines/>
      <w:tabs>
        <w:tab w:val="left" w:pos="1584"/>
      </w:tabs>
      <w:spacing w:before="240" w:after="64" w:line="319" w:lineRule="auto"/>
      <w:ind w:left="1584" w:hanging="1584"/>
      <w:outlineLvl w:val="8"/>
    </w:pPr>
    <w:rPr>
      <w:rFonts w:ascii="Arial" w:hAnsi="Arial" w:eastAsia="黑体" w:cs="Times New Roman"/>
      <w:szCs w:val="21"/>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1260"/>
      <w:jc w:val="left"/>
    </w:pPr>
    <w:rPr>
      <w:rFonts w:asciiTheme="minorHAnsi" w:hAnsiTheme="minorHAnsi"/>
      <w:sz w:val="18"/>
      <w:szCs w:val="18"/>
    </w:rPr>
  </w:style>
  <w:style w:type="paragraph" w:styleId="12">
    <w:name w:val="caption"/>
    <w:basedOn w:val="1"/>
    <w:next w:val="1"/>
    <w:qFormat/>
    <w:uiPriority w:val="0"/>
    <w:pPr>
      <w:widowControl/>
      <w:spacing w:before="60" w:after="360"/>
      <w:jc w:val="center"/>
    </w:pPr>
    <w:rPr>
      <w:rFonts w:ascii="Arial" w:hAnsi="Arial" w:cs="Times New Roman"/>
      <w:i/>
      <w:kern w:val="0"/>
      <w:sz w:val="16"/>
      <w:szCs w:val="20"/>
      <w:lang w:val="en-GB" w:eastAsia="en-US"/>
    </w:rPr>
  </w:style>
  <w:style w:type="paragraph" w:styleId="13">
    <w:name w:val="annotation text"/>
    <w:basedOn w:val="1"/>
    <w:link w:val="93"/>
    <w:qFormat/>
    <w:uiPriority w:val="0"/>
    <w:pPr>
      <w:autoSpaceDE w:val="0"/>
      <w:autoSpaceDN w:val="0"/>
      <w:adjustRightInd w:val="0"/>
      <w:spacing w:line="312" w:lineRule="atLeast"/>
      <w:jc w:val="left"/>
      <w:textAlignment w:val="baseline"/>
    </w:pPr>
    <w:rPr>
      <w:rFonts w:cs="Times New Roman"/>
      <w:kern w:val="0"/>
      <w:sz w:val="20"/>
      <w:szCs w:val="20"/>
      <w:lang w:val="zh-CN"/>
    </w:rPr>
  </w:style>
  <w:style w:type="paragraph" w:styleId="14">
    <w:name w:val="Body Text"/>
    <w:basedOn w:val="1"/>
    <w:link w:val="82"/>
    <w:semiHidden/>
    <w:unhideWhenUsed/>
    <w:qFormat/>
    <w:uiPriority w:val="99"/>
    <w:pPr>
      <w:spacing w:after="120"/>
    </w:pPr>
    <w:rPr>
      <w:rFonts w:asciiTheme="minorHAnsi" w:hAnsiTheme="minorHAnsi" w:eastAsiaTheme="minorEastAsia"/>
      <w:szCs w:val="22"/>
    </w:rPr>
  </w:style>
  <w:style w:type="paragraph" w:styleId="15">
    <w:name w:val="toc 5"/>
    <w:basedOn w:val="1"/>
    <w:next w:val="1"/>
    <w:unhideWhenUsed/>
    <w:qFormat/>
    <w:uiPriority w:val="39"/>
    <w:pPr>
      <w:ind w:left="840"/>
      <w:jc w:val="left"/>
    </w:pPr>
    <w:rPr>
      <w:rFonts w:asciiTheme="minorHAnsi" w:hAnsiTheme="minorHAnsi"/>
      <w:sz w:val="18"/>
      <w:szCs w:val="18"/>
    </w:rPr>
  </w:style>
  <w:style w:type="paragraph" w:styleId="16">
    <w:name w:val="toc 3"/>
    <w:basedOn w:val="1"/>
    <w:next w:val="1"/>
    <w:unhideWhenUsed/>
    <w:qFormat/>
    <w:uiPriority w:val="39"/>
    <w:pPr>
      <w:tabs>
        <w:tab w:val="right" w:leader="dot" w:pos="8494"/>
      </w:tabs>
      <w:ind w:left="420"/>
      <w:jc w:val="left"/>
    </w:pPr>
    <w:rPr>
      <w:rFonts w:asciiTheme="minorHAnsi" w:hAnsiTheme="minorHAnsi"/>
      <w:sz w:val="20"/>
      <w:szCs w:val="20"/>
    </w:rPr>
  </w:style>
  <w:style w:type="paragraph" w:styleId="17">
    <w:name w:val="toc 8"/>
    <w:basedOn w:val="1"/>
    <w:next w:val="1"/>
    <w:unhideWhenUsed/>
    <w:qFormat/>
    <w:uiPriority w:val="39"/>
    <w:pPr>
      <w:ind w:left="1470"/>
      <w:jc w:val="left"/>
    </w:pPr>
    <w:rPr>
      <w:rFonts w:asciiTheme="minorHAnsi" w:hAnsiTheme="minorHAnsi"/>
      <w:sz w:val="18"/>
      <w:szCs w:val="18"/>
    </w:rPr>
  </w:style>
  <w:style w:type="paragraph" w:styleId="18">
    <w:name w:val="Balloon Text"/>
    <w:basedOn w:val="1"/>
    <w:link w:val="87"/>
    <w:semiHidden/>
    <w:unhideWhenUsed/>
    <w:qFormat/>
    <w:uiPriority w:val="99"/>
    <w:rPr>
      <w:sz w:val="18"/>
      <w:szCs w:val="18"/>
    </w:rPr>
  </w:style>
  <w:style w:type="paragraph" w:styleId="19">
    <w:name w:val="footer"/>
    <w:basedOn w:val="1"/>
    <w:link w:val="78"/>
    <w:unhideWhenUsed/>
    <w:qFormat/>
    <w:uiPriority w:val="99"/>
    <w:pPr>
      <w:tabs>
        <w:tab w:val="center" w:pos="4153"/>
        <w:tab w:val="right" w:pos="8306"/>
      </w:tabs>
      <w:snapToGrid w:val="0"/>
      <w:jc w:val="left"/>
    </w:pPr>
    <w:rPr>
      <w:sz w:val="18"/>
      <w:szCs w:val="18"/>
    </w:rPr>
  </w:style>
  <w:style w:type="paragraph" w:styleId="20">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spacing w:before="120" w:after="120"/>
      <w:jc w:val="left"/>
    </w:pPr>
    <w:rPr>
      <w:rFonts w:asciiTheme="minorHAnsi" w:hAnsiTheme="minorHAnsi"/>
      <w:b/>
      <w:bCs/>
      <w:caps/>
      <w:sz w:val="20"/>
      <w:szCs w:val="20"/>
    </w:rPr>
  </w:style>
  <w:style w:type="paragraph" w:styleId="22">
    <w:name w:val="toc 4"/>
    <w:basedOn w:val="1"/>
    <w:next w:val="1"/>
    <w:unhideWhenUsed/>
    <w:qFormat/>
    <w:uiPriority w:val="39"/>
    <w:pPr>
      <w:ind w:left="630"/>
      <w:jc w:val="left"/>
    </w:pPr>
    <w:rPr>
      <w:rFonts w:asciiTheme="minorHAnsi" w:hAnsiTheme="minorHAnsi"/>
      <w:sz w:val="18"/>
      <w:szCs w:val="18"/>
    </w:rPr>
  </w:style>
  <w:style w:type="paragraph" w:styleId="23">
    <w:name w:val="Subtitle"/>
    <w:basedOn w:val="1"/>
    <w:link w:val="74"/>
    <w:qFormat/>
    <w:uiPriority w:val="0"/>
    <w:pPr>
      <w:widowControl/>
      <w:spacing w:after="60"/>
      <w:jc w:val="center"/>
    </w:pPr>
    <w:rPr>
      <w:rFonts w:ascii="Arial" w:hAnsi="Arial" w:cs="Times New Roman"/>
      <w:i/>
      <w:kern w:val="0"/>
      <w:sz w:val="16"/>
      <w:szCs w:val="20"/>
      <w:lang w:val="en-GB" w:eastAsia="en-US"/>
    </w:rPr>
  </w:style>
  <w:style w:type="paragraph" w:styleId="24">
    <w:name w:val="toc 6"/>
    <w:basedOn w:val="1"/>
    <w:next w:val="1"/>
    <w:unhideWhenUsed/>
    <w:qFormat/>
    <w:uiPriority w:val="39"/>
    <w:pPr>
      <w:ind w:left="1050"/>
      <w:jc w:val="left"/>
    </w:pPr>
    <w:rPr>
      <w:rFonts w:asciiTheme="minorHAnsi" w:hAnsiTheme="minorHAnsi"/>
      <w:sz w:val="18"/>
      <w:szCs w:val="18"/>
    </w:rPr>
  </w:style>
  <w:style w:type="paragraph" w:styleId="25">
    <w:name w:val="toc 2"/>
    <w:basedOn w:val="1"/>
    <w:next w:val="1"/>
    <w:unhideWhenUsed/>
    <w:qFormat/>
    <w:uiPriority w:val="39"/>
    <w:pPr>
      <w:ind w:left="210"/>
      <w:jc w:val="left"/>
    </w:pPr>
    <w:rPr>
      <w:rFonts w:asciiTheme="minorHAnsi" w:hAnsiTheme="minorHAnsi"/>
      <w:smallCaps/>
      <w:sz w:val="20"/>
      <w:szCs w:val="20"/>
    </w:rPr>
  </w:style>
  <w:style w:type="paragraph" w:styleId="26">
    <w:name w:val="toc 9"/>
    <w:basedOn w:val="1"/>
    <w:next w:val="1"/>
    <w:unhideWhenUsed/>
    <w:qFormat/>
    <w:uiPriority w:val="39"/>
    <w:pPr>
      <w:ind w:left="1680"/>
      <w:jc w:val="left"/>
    </w:pPr>
    <w:rPr>
      <w:rFonts w:asciiTheme="minorHAnsi" w:hAnsiTheme="minorHAnsi"/>
      <w:sz w:val="18"/>
      <w:szCs w:val="18"/>
    </w:rPr>
  </w:style>
  <w:style w:type="paragraph" w:styleId="2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28">
    <w:name w:val="Title"/>
    <w:basedOn w:val="1"/>
    <w:next w:val="1"/>
    <w:link w:val="73"/>
    <w:qFormat/>
    <w:uiPriority w:val="0"/>
    <w:pPr>
      <w:keepNext/>
      <w:widowControl/>
      <w:spacing w:before="240" w:after="60"/>
      <w:jc w:val="left"/>
    </w:pPr>
    <w:rPr>
      <w:rFonts w:ascii="Arial" w:hAnsi="Arial" w:cs="Times New Roman"/>
      <w:b/>
      <w:kern w:val="28"/>
      <w:sz w:val="24"/>
      <w:szCs w:val="20"/>
      <w:lang w:val="en-GB" w:eastAsia="en-US"/>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0"/>
    <w:rPr>
      <w:b/>
      <w:bCs/>
    </w:rPr>
  </w:style>
  <w:style w:type="character" w:styleId="33">
    <w:name w:val="page number"/>
    <w:qFormat/>
    <w:uiPriority w:val="0"/>
    <w:rPr>
      <w:rFonts w:ascii="Arial" w:hAnsi="Arial"/>
      <w:sz w:val="18"/>
    </w:rPr>
  </w:style>
  <w:style w:type="character" w:styleId="34">
    <w:name w:val="Emphasis"/>
    <w:qFormat/>
    <w:uiPriority w:val="0"/>
    <w:rPr>
      <w:color w:val="CC0000"/>
    </w:rPr>
  </w:style>
  <w:style w:type="character" w:styleId="35">
    <w:name w:val="Hyperlink"/>
    <w:basedOn w:val="31"/>
    <w:unhideWhenUsed/>
    <w:qFormat/>
    <w:uiPriority w:val="99"/>
    <w:rPr>
      <w:color w:val="0000FF" w:themeColor="hyperlink"/>
      <w:u w:val="single"/>
      <w14:textFill>
        <w14:solidFill>
          <w14:schemeClr w14:val="hlink"/>
        </w14:solidFill>
      </w14:textFill>
    </w:rPr>
  </w:style>
  <w:style w:type="character" w:customStyle="1" w:styleId="36">
    <w:name w:val="标题 1 字符"/>
    <w:basedOn w:val="31"/>
    <w:link w:val="2"/>
    <w:qFormat/>
    <w:uiPriority w:val="0"/>
    <w:rPr>
      <w:rFonts w:ascii="Times New Roman" w:hAnsi="Times New Roman" w:eastAsia="宋体" w:cs="Times New Roman"/>
      <w:kern w:val="44"/>
      <w:sz w:val="44"/>
      <w:szCs w:val="44"/>
    </w:rPr>
  </w:style>
  <w:style w:type="character" w:customStyle="1" w:styleId="37">
    <w:name w:val="标题 2 字符"/>
    <w:basedOn w:val="31"/>
    <w:link w:val="3"/>
    <w:qFormat/>
    <w:uiPriority w:val="0"/>
    <w:rPr>
      <w:rFonts w:ascii="宋体" w:hAnsi="宋体" w:eastAsia="宋体" w:cs="Times New Roman"/>
      <w:b/>
      <w:sz w:val="30"/>
      <w:szCs w:val="30"/>
    </w:rPr>
  </w:style>
  <w:style w:type="character" w:customStyle="1" w:styleId="38">
    <w:name w:val="标题 3 字符"/>
    <w:basedOn w:val="31"/>
    <w:link w:val="4"/>
    <w:qFormat/>
    <w:uiPriority w:val="9"/>
    <w:rPr>
      <w:rFonts w:ascii="宋体" w:hAnsi="宋体" w:eastAsia="宋体" w:cs="Times New Roman"/>
      <w:b/>
      <w:color w:val="000000"/>
      <w:sz w:val="30"/>
      <w:szCs w:val="30"/>
    </w:rPr>
  </w:style>
  <w:style w:type="character" w:customStyle="1" w:styleId="39">
    <w:name w:val="标题 4 字符"/>
    <w:basedOn w:val="31"/>
    <w:link w:val="5"/>
    <w:uiPriority w:val="0"/>
    <w:rPr>
      <w:rFonts w:ascii="Times New Roman" w:hAnsi="Times New Roman" w:eastAsia="宋体" w:cs="Times New Roman"/>
      <w:b/>
      <w:bCs/>
      <w:sz w:val="28"/>
      <w:szCs w:val="24"/>
    </w:rPr>
  </w:style>
  <w:style w:type="character" w:customStyle="1" w:styleId="40">
    <w:name w:val="标题 5 字符"/>
    <w:basedOn w:val="31"/>
    <w:link w:val="6"/>
    <w:uiPriority w:val="0"/>
    <w:rPr>
      <w:rFonts w:ascii="Times New Roman" w:hAnsi="Times New Roman" w:eastAsia="宋体" w:cs="Times New Roman"/>
      <w:sz w:val="28"/>
      <w:szCs w:val="28"/>
    </w:rPr>
  </w:style>
  <w:style w:type="character" w:customStyle="1" w:styleId="41">
    <w:name w:val="标题 6 字符"/>
    <w:basedOn w:val="31"/>
    <w:link w:val="7"/>
    <w:uiPriority w:val="0"/>
    <w:rPr>
      <w:rFonts w:ascii="Arial" w:hAnsi="Arial" w:eastAsia="黑体" w:cs="Times New Roman"/>
      <w:sz w:val="24"/>
      <w:szCs w:val="24"/>
    </w:rPr>
  </w:style>
  <w:style w:type="character" w:customStyle="1" w:styleId="42">
    <w:name w:val="标题 7 字符"/>
    <w:basedOn w:val="31"/>
    <w:link w:val="8"/>
    <w:qFormat/>
    <w:uiPriority w:val="0"/>
    <w:rPr>
      <w:rFonts w:ascii="Times New Roman" w:hAnsi="Times New Roman" w:eastAsia="宋体" w:cs="Times New Roman"/>
      <w:b/>
      <w:bCs/>
      <w:sz w:val="24"/>
      <w:szCs w:val="24"/>
    </w:rPr>
  </w:style>
  <w:style w:type="character" w:customStyle="1" w:styleId="43">
    <w:name w:val="标题 8 字符"/>
    <w:basedOn w:val="31"/>
    <w:link w:val="9"/>
    <w:uiPriority w:val="0"/>
    <w:rPr>
      <w:rFonts w:ascii="Arial" w:hAnsi="Arial" w:eastAsia="黑体" w:cs="Times New Roman"/>
      <w:sz w:val="24"/>
      <w:szCs w:val="24"/>
    </w:rPr>
  </w:style>
  <w:style w:type="character" w:customStyle="1" w:styleId="44">
    <w:name w:val="标题 9 字符"/>
    <w:basedOn w:val="31"/>
    <w:link w:val="10"/>
    <w:uiPriority w:val="0"/>
    <w:rPr>
      <w:rFonts w:ascii="Arial" w:hAnsi="Arial" w:eastAsia="黑体" w:cs="Times New Roman"/>
      <w:szCs w:val="21"/>
    </w:rPr>
  </w:style>
  <w:style w:type="paragraph" w:customStyle="1" w:styleId="45">
    <w:name w:val="浅色网格 - 着色 31"/>
    <w:basedOn w:val="1"/>
    <w:qFormat/>
    <w:uiPriority w:val="0"/>
    <w:pPr>
      <w:ind w:firstLine="420" w:firstLineChars="200"/>
    </w:pPr>
    <w:rPr>
      <w:rFonts w:cs="Times New Roman"/>
    </w:rPr>
  </w:style>
  <w:style w:type="paragraph" w:customStyle="1" w:styleId="46">
    <w:name w:val="正文首行缩进2"/>
    <w:basedOn w:val="1"/>
    <w:qFormat/>
    <w:uiPriority w:val="0"/>
    <w:pPr>
      <w:spacing w:line="360" w:lineRule="auto"/>
      <w:ind w:firstLine="200" w:firstLineChars="200"/>
    </w:pPr>
    <w:rPr>
      <w:rFonts w:cs="黑体"/>
      <w:sz w:val="24"/>
      <w:szCs w:val="22"/>
    </w:rPr>
  </w:style>
  <w:style w:type="paragraph" w:customStyle="1" w:styleId="47">
    <w:name w:val="彩色列表 - 着色 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8">
    <w:name w:val="中等深浅列表 2 - 着色 41"/>
    <w:basedOn w:val="1"/>
    <w:qFormat/>
    <w:uiPriority w:val="0"/>
    <w:pPr>
      <w:ind w:firstLine="420" w:firstLineChars="200"/>
    </w:pPr>
    <w:rPr>
      <w:rFonts w:cs="Times New Roman"/>
    </w:rPr>
  </w:style>
  <w:style w:type="paragraph" w:customStyle="1" w:styleId="49">
    <w:name w:val="列出段落2"/>
    <w:basedOn w:val="1"/>
    <w:qFormat/>
    <w:uiPriority w:val="34"/>
    <w:pPr>
      <w:ind w:firstLine="420" w:firstLineChars="200"/>
    </w:pPr>
    <w:rPr>
      <w:rFonts w:cs="Times New Roman"/>
      <w:szCs w:val="21"/>
    </w:rPr>
  </w:style>
  <w:style w:type="paragraph" w:customStyle="1" w:styleId="50">
    <w:name w:val="彩色底纹 - 着色 31"/>
    <w:basedOn w:val="1"/>
    <w:link w:val="51"/>
    <w:qFormat/>
    <w:uiPriority w:val="0"/>
    <w:pPr>
      <w:ind w:firstLine="420" w:firstLineChars="200"/>
    </w:pPr>
    <w:rPr>
      <w:rFonts w:asciiTheme="minorHAnsi" w:hAnsiTheme="minorHAnsi"/>
    </w:rPr>
  </w:style>
  <w:style w:type="character" w:customStyle="1" w:styleId="51">
    <w:name w:val="彩色底纹 - 着色 3 字符"/>
    <w:link w:val="50"/>
    <w:locked/>
    <w:uiPriority w:val="0"/>
    <w:rPr>
      <w:rFonts w:eastAsia="宋体"/>
      <w:szCs w:val="24"/>
    </w:rPr>
  </w:style>
  <w:style w:type="paragraph" w:customStyle="1" w:styleId="52">
    <w:name w:val="表格1"/>
    <w:basedOn w:val="1"/>
    <w:link w:val="53"/>
    <w:qFormat/>
    <w:uiPriority w:val="0"/>
    <w:pPr>
      <w:spacing w:beforeLines="50" w:afterLines="50"/>
    </w:pPr>
    <w:rPr>
      <w:rFonts w:ascii="Calibri" w:hAnsi="Calibri" w:eastAsiaTheme="minorEastAsia"/>
      <w:szCs w:val="22"/>
    </w:rPr>
  </w:style>
  <w:style w:type="character" w:customStyle="1" w:styleId="53">
    <w:name w:val="表格1 Char"/>
    <w:link w:val="52"/>
    <w:qFormat/>
    <w:uiPriority w:val="0"/>
    <w:rPr>
      <w:rFonts w:ascii="Calibri" w:hAnsi="Calibri"/>
    </w:rPr>
  </w:style>
  <w:style w:type="paragraph" w:customStyle="1" w:styleId="54">
    <w:name w:val="正文_0_12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正文_0_14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正文_17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中等深浅底纹 1 - 着色 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正文_16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正文_14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
    <w:name w:val="无间隔1"/>
    <w:qFormat/>
    <w:uiPriority w:val="0"/>
    <w:pPr>
      <w:adjustRightInd w:val="0"/>
      <w:snapToGrid w:val="0"/>
    </w:pPr>
    <w:rPr>
      <w:rFonts w:ascii="Tahoma" w:hAnsi="Tahoma" w:eastAsia="微软雅黑" w:cs="Times New Roman"/>
      <w:sz w:val="22"/>
      <w:szCs w:val="22"/>
      <w:lang w:val="en-US" w:eastAsia="zh-CN" w:bidi="ar-SA"/>
    </w:rPr>
  </w:style>
  <w:style w:type="paragraph" w:customStyle="1" w:styleId="61">
    <w:name w:val="正文_0_13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2">
    <w:name w:val="正文_0_10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正文_12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
    <w:name w:val="正文_0_11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_Style 2"/>
    <w:basedOn w:val="1"/>
    <w:qFormat/>
    <w:uiPriority w:val="0"/>
    <w:pPr>
      <w:ind w:firstLine="420" w:firstLineChars="200"/>
    </w:pPr>
    <w:rPr>
      <w:rFonts w:cs="Times New Roman"/>
      <w:szCs w:val="20"/>
    </w:rPr>
  </w:style>
  <w:style w:type="paragraph" w:customStyle="1" w:styleId="66">
    <w:name w:val="正文_15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正文_11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
    <w:name w:val="正文_13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
    <w:name w:val="H正文"/>
    <w:basedOn w:val="1"/>
    <w:link w:val="70"/>
    <w:qFormat/>
    <w:uiPriority w:val="0"/>
    <w:pPr>
      <w:spacing w:before="60" w:after="60" w:line="360" w:lineRule="auto"/>
      <w:ind w:firstLine="480" w:firstLineChars="200"/>
    </w:pPr>
    <w:rPr>
      <w:rFonts w:cs="Times New Roman"/>
      <w:sz w:val="24"/>
    </w:rPr>
  </w:style>
  <w:style w:type="character" w:customStyle="1" w:styleId="70">
    <w:name w:val="H正文 字符"/>
    <w:link w:val="69"/>
    <w:qFormat/>
    <w:uiPriority w:val="0"/>
    <w:rPr>
      <w:rFonts w:ascii="Times New Roman" w:hAnsi="Times New Roman" w:eastAsia="宋体" w:cs="Times New Roman"/>
      <w:sz w:val="24"/>
      <w:szCs w:val="24"/>
    </w:rPr>
  </w:style>
  <w:style w:type="paragraph" w:customStyle="1" w:styleId="71">
    <w:name w:val="正文_15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
    <w:name w:val="正文_0_7_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3">
    <w:name w:val="标题 字符"/>
    <w:basedOn w:val="31"/>
    <w:link w:val="28"/>
    <w:qFormat/>
    <w:uiPriority w:val="0"/>
    <w:rPr>
      <w:rFonts w:ascii="Arial" w:hAnsi="Arial" w:eastAsia="宋体" w:cs="Times New Roman"/>
      <w:b/>
      <w:kern w:val="28"/>
      <w:sz w:val="24"/>
      <w:szCs w:val="20"/>
      <w:lang w:val="en-GB" w:eastAsia="en-US"/>
    </w:rPr>
  </w:style>
  <w:style w:type="character" w:customStyle="1" w:styleId="74">
    <w:name w:val="副标题 字符"/>
    <w:basedOn w:val="31"/>
    <w:link w:val="23"/>
    <w:qFormat/>
    <w:uiPriority w:val="0"/>
    <w:rPr>
      <w:rFonts w:ascii="Arial" w:hAnsi="Arial" w:eastAsia="宋体" w:cs="Times New Roman"/>
      <w:i/>
      <w:kern w:val="0"/>
      <w:sz w:val="16"/>
      <w:szCs w:val="20"/>
      <w:lang w:val="en-GB" w:eastAsia="en-US"/>
    </w:rPr>
  </w:style>
  <w:style w:type="paragraph" w:styleId="75">
    <w:name w:val="List Paragraph"/>
    <w:basedOn w:val="1"/>
    <w:link w:val="76"/>
    <w:qFormat/>
    <w:uiPriority w:val="34"/>
    <w:pPr>
      <w:widowControl/>
      <w:ind w:firstLine="420" w:firstLineChars="200"/>
      <w:jc w:val="left"/>
    </w:pPr>
    <w:rPr>
      <w:rFonts w:ascii="宋体" w:hAnsi="宋体" w:cs="宋体"/>
      <w:kern w:val="0"/>
      <w:sz w:val="24"/>
    </w:rPr>
  </w:style>
  <w:style w:type="character" w:customStyle="1" w:styleId="76">
    <w:name w:val="列表段落 字符"/>
    <w:link w:val="75"/>
    <w:qFormat/>
    <w:uiPriority w:val="34"/>
    <w:rPr>
      <w:rFonts w:ascii="宋体" w:hAnsi="宋体" w:eastAsia="宋体" w:cs="宋体"/>
      <w:kern w:val="0"/>
      <w:sz w:val="24"/>
      <w:szCs w:val="24"/>
    </w:rPr>
  </w:style>
  <w:style w:type="character" w:customStyle="1" w:styleId="77">
    <w:name w:val="页眉 字符"/>
    <w:basedOn w:val="31"/>
    <w:link w:val="20"/>
    <w:qFormat/>
    <w:uiPriority w:val="99"/>
    <w:rPr>
      <w:rFonts w:ascii="Times New Roman" w:hAnsi="Times New Roman" w:eastAsia="宋体"/>
      <w:sz w:val="18"/>
      <w:szCs w:val="18"/>
    </w:rPr>
  </w:style>
  <w:style w:type="character" w:customStyle="1" w:styleId="78">
    <w:name w:val="页脚 字符"/>
    <w:basedOn w:val="31"/>
    <w:link w:val="19"/>
    <w:qFormat/>
    <w:uiPriority w:val="99"/>
    <w:rPr>
      <w:rFonts w:ascii="Times New Roman" w:hAnsi="Times New Roman" w:eastAsia="宋体"/>
      <w:sz w:val="18"/>
      <w:szCs w:val="18"/>
    </w:rPr>
  </w:style>
  <w:style w:type="paragraph" w:customStyle="1" w:styleId="79">
    <w:name w:val="文章标题2级"/>
    <w:basedOn w:val="1"/>
    <w:next w:val="1"/>
    <w:link w:val="80"/>
    <w:qFormat/>
    <w:uiPriority w:val="0"/>
    <w:pPr>
      <w:keepNext/>
      <w:widowControl/>
      <w:tabs>
        <w:tab w:val="left" w:pos="720"/>
      </w:tabs>
      <w:spacing w:before="120" w:beforeLines="50" w:after="120" w:afterLines="50" w:line="360" w:lineRule="auto"/>
      <w:ind w:left="720" w:hanging="720"/>
      <w:jc w:val="left"/>
      <w:outlineLvl w:val="2"/>
    </w:pPr>
    <w:rPr>
      <w:rFonts w:cs="Times New Roman"/>
      <w:b/>
      <w:sz w:val="24"/>
    </w:rPr>
  </w:style>
  <w:style w:type="character" w:customStyle="1" w:styleId="80">
    <w:name w:val="文章标题2级 Char"/>
    <w:link w:val="79"/>
    <w:qFormat/>
    <w:uiPriority w:val="0"/>
    <w:rPr>
      <w:rFonts w:ascii="Times New Roman" w:hAnsi="Times New Roman" w:eastAsia="宋体" w:cs="Times New Roman"/>
      <w:b/>
      <w:sz w:val="24"/>
      <w:szCs w:val="24"/>
    </w:rPr>
  </w:style>
  <w:style w:type="paragraph" w:customStyle="1" w:styleId="81">
    <w:name w:val="Bullet with text 4"/>
    <w:basedOn w:val="1"/>
    <w:uiPriority w:val="0"/>
    <w:pPr>
      <w:widowControl/>
      <w:numPr>
        <w:ilvl w:val="0"/>
        <w:numId w:val="3"/>
      </w:numPr>
      <w:tabs>
        <w:tab w:val="left" w:pos="1440"/>
        <w:tab w:val="clear" w:pos="1080"/>
      </w:tabs>
      <w:ind w:left="1440"/>
      <w:jc w:val="left"/>
    </w:pPr>
    <w:rPr>
      <w:rFonts w:ascii="Arial" w:hAnsi="Arial" w:cs="Times New Roman"/>
      <w:kern w:val="0"/>
      <w:sz w:val="20"/>
      <w:szCs w:val="20"/>
      <w:lang w:val="en-GB" w:eastAsia="en-US"/>
    </w:rPr>
  </w:style>
  <w:style w:type="character" w:customStyle="1" w:styleId="82">
    <w:name w:val="正文文本 字符"/>
    <w:basedOn w:val="31"/>
    <w:link w:val="14"/>
    <w:semiHidden/>
    <w:qFormat/>
    <w:uiPriority w:val="99"/>
  </w:style>
  <w:style w:type="character" w:customStyle="1" w:styleId="83">
    <w:name w:val="editinput"/>
    <w:basedOn w:val="31"/>
    <w:qFormat/>
    <w:uiPriority w:val="0"/>
  </w:style>
  <w:style w:type="character" w:customStyle="1" w:styleId="84">
    <w:name w:val="edittexttarea"/>
    <w:basedOn w:val="31"/>
    <w:qFormat/>
    <w:uiPriority w:val="0"/>
  </w:style>
  <w:style w:type="paragraph" w:customStyle="1" w:styleId="85">
    <w:name w:val="标题-正文"/>
    <w:basedOn w:val="1"/>
    <w:link w:val="86"/>
    <w:uiPriority w:val="7"/>
    <w:pPr>
      <w:spacing w:before="60" w:after="60" w:line="360" w:lineRule="auto"/>
      <w:ind w:firstLine="480" w:firstLineChars="200"/>
    </w:pPr>
    <w:rPr>
      <w:rFonts w:cs="Times New Roman"/>
      <w:sz w:val="24"/>
    </w:rPr>
  </w:style>
  <w:style w:type="character" w:customStyle="1" w:styleId="86">
    <w:name w:val="标题-正文 字符"/>
    <w:link w:val="85"/>
    <w:qFormat/>
    <w:uiPriority w:val="7"/>
    <w:rPr>
      <w:rFonts w:ascii="Times New Roman" w:hAnsi="Times New Roman" w:eastAsia="宋体" w:cs="Times New Roman"/>
      <w:sz w:val="24"/>
      <w:szCs w:val="24"/>
    </w:rPr>
  </w:style>
  <w:style w:type="character" w:customStyle="1" w:styleId="87">
    <w:name w:val="批注框文本 字符"/>
    <w:basedOn w:val="31"/>
    <w:link w:val="18"/>
    <w:semiHidden/>
    <w:qFormat/>
    <w:uiPriority w:val="99"/>
    <w:rPr>
      <w:rFonts w:ascii="Times New Roman" w:hAnsi="Times New Roman" w:eastAsia="宋体"/>
      <w:sz w:val="18"/>
      <w:szCs w:val="18"/>
    </w:rPr>
  </w:style>
  <w:style w:type="character" w:customStyle="1" w:styleId="88">
    <w:name w:val="font21"/>
    <w:basedOn w:val="31"/>
    <w:qFormat/>
    <w:uiPriority w:val="0"/>
    <w:rPr>
      <w:rFonts w:hint="eastAsia" w:ascii="宋体" w:hAnsi="宋体" w:eastAsia="宋体"/>
      <w:color w:val="000000"/>
      <w:sz w:val="24"/>
      <w:szCs w:val="24"/>
      <w:u w:val="none"/>
    </w:rPr>
  </w:style>
  <w:style w:type="character" w:customStyle="1" w:styleId="89">
    <w:name w:val="font31"/>
    <w:basedOn w:val="31"/>
    <w:uiPriority w:val="0"/>
    <w:rPr>
      <w:rFonts w:hint="default" w:ascii="Times New Roman" w:hAnsi="Times New Roman" w:cs="Times New Roman"/>
      <w:color w:val="000000"/>
      <w:sz w:val="24"/>
      <w:szCs w:val="24"/>
      <w:u w:val="none"/>
    </w:rPr>
  </w:style>
  <w:style w:type="character" w:customStyle="1" w:styleId="90">
    <w:name w:val="font01"/>
    <w:basedOn w:val="31"/>
    <w:qFormat/>
    <w:uiPriority w:val="0"/>
    <w:rPr>
      <w:rFonts w:hint="eastAsia" w:ascii="等线" w:hAnsi="等线" w:eastAsia="等线"/>
      <w:color w:val="000000"/>
      <w:sz w:val="22"/>
      <w:szCs w:val="22"/>
      <w:u w:val="none"/>
    </w:rPr>
  </w:style>
  <w:style w:type="character" w:customStyle="1" w:styleId="91">
    <w:name w:val="font11"/>
    <w:basedOn w:val="31"/>
    <w:uiPriority w:val="0"/>
    <w:rPr>
      <w:rFonts w:hint="eastAsia" w:ascii="宋体" w:hAnsi="宋体" w:eastAsia="宋体"/>
      <w:b/>
      <w:bCs/>
      <w:color w:val="000000"/>
      <w:sz w:val="24"/>
      <w:szCs w:val="24"/>
      <w:u w:val="none"/>
    </w:rPr>
  </w:style>
  <w:style w:type="character" w:customStyle="1" w:styleId="92">
    <w:name w:val="批注文字 字符"/>
    <w:basedOn w:val="31"/>
    <w:semiHidden/>
    <w:uiPriority w:val="99"/>
    <w:rPr>
      <w:rFonts w:ascii="Times New Roman" w:hAnsi="Times New Roman" w:eastAsia="宋体"/>
      <w:szCs w:val="24"/>
    </w:rPr>
  </w:style>
  <w:style w:type="character" w:customStyle="1" w:styleId="93">
    <w:name w:val="批注文字 字符1"/>
    <w:link w:val="13"/>
    <w:qFormat/>
    <w:uiPriority w:val="0"/>
    <w:rPr>
      <w:rFonts w:ascii="Times New Roman" w:hAnsi="Times New Roman" w:eastAsia="宋体" w:cs="Times New Roman"/>
      <w:kern w:val="0"/>
      <w:sz w:val="20"/>
      <w:szCs w:val="20"/>
      <w:lang w:val="zh-CN" w:eastAsia="zh-CN"/>
    </w:rPr>
  </w:style>
  <w:style w:type="paragraph" w:customStyle="1" w:styleId="9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color w:val="376092" w:themeColor="accent1" w:themeShade="BF"/>
      <w:kern w:val="0"/>
      <w:sz w:val="32"/>
      <w:szCs w:val="32"/>
    </w:rPr>
  </w:style>
  <w:style w:type="paragraph" w:customStyle="1" w:styleId="95">
    <w:name w:val=" Char"/>
    <w:basedOn w:val="1"/>
    <w:uiPriority w:val="0"/>
    <w:pPr>
      <w:widowControl/>
      <w:spacing w:after="160" w:line="240" w:lineRule="exact"/>
      <w:jc w:val="left"/>
    </w:pPr>
    <w:rPr>
      <w:rFonts w:ascii="Calibri" w:hAnsi="Calibri" w:cs="Times New Roman"/>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6BB2F-082F-4811-8B2D-B8F729C273C7}">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10887</Words>
  <Characters>11165</Characters>
  <Lines>86</Lines>
  <Paragraphs>24</Paragraphs>
  <TotalTime>3</TotalTime>
  <ScaleCrop>false</ScaleCrop>
  <LinksUpToDate>false</LinksUpToDate>
  <CharactersWithSpaces>11205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2020-06-28T15:17:00Z</dcterms:created>
  <dc:creator>maureenlin</dc:creator>
  <cp:lastModifiedBy>不哭</cp:lastModifiedBy>
  <dcterms:modified xsi:type="dcterms:W3CDTF">2022-06-14T06:47:49Z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D255715B142C42C08B16CF5E488AAD38</vt:lpwstr>
  </property>
</Properties>
</file>