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rPr>
      </w:pPr>
      <w:r>
        <w:rPr>
          <w:rFonts w:hint="eastAsia"/>
          <w:b/>
          <w:sz w:val="32"/>
          <w:szCs w:val="32"/>
        </w:rPr>
        <w:t>福  建  中  医  药  大  学</w:t>
      </w:r>
    </w:p>
    <w:p>
      <w:pPr>
        <w:jc w:val="center"/>
        <w:rPr>
          <w:b/>
          <w:sz w:val="32"/>
          <w:szCs w:val="32"/>
        </w:rPr>
      </w:pPr>
      <w:r>
        <w:rPr>
          <w:rFonts w:hint="eastAsia"/>
          <w:b/>
          <w:sz w:val="32"/>
          <w:szCs w:val="32"/>
        </w:rPr>
        <w:t>软  件  采  购  询  价  工  作  单</w:t>
      </w:r>
    </w:p>
    <w:p>
      <w:pPr>
        <w:ind w:firstLine="700" w:firstLineChars="250"/>
        <w:rPr>
          <w:rFonts w:ascii="宋体" w:hAnsi="宋体"/>
          <w:sz w:val="28"/>
          <w:szCs w:val="28"/>
        </w:rPr>
      </w:pPr>
      <w:r>
        <w:rPr>
          <w:rFonts w:hint="eastAsia" w:ascii="宋体" w:hAnsi="宋体"/>
          <w:sz w:val="28"/>
          <w:szCs w:val="28"/>
        </w:rPr>
        <w:t>公司名称（盖章）：</w:t>
      </w:r>
    </w:p>
    <w:tbl>
      <w:tblPr>
        <w:tblStyle w:val="11"/>
        <w:tblW w:w="11713" w:type="dxa"/>
        <w:tblInd w:w="6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6"/>
        <w:gridCol w:w="3001"/>
        <w:gridCol w:w="1863"/>
        <w:gridCol w:w="763"/>
        <w:gridCol w:w="2010"/>
        <w:gridCol w:w="3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66" w:type="dxa"/>
            <w:vAlign w:val="center"/>
          </w:tcPr>
          <w:p>
            <w:pPr>
              <w:jc w:val="center"/>
              <w:rPr>
                <w:rFonts w:ascii="宋体" w:hAnsi="宋体"/>
                <w:sz w:val="24"/>
              </w:rPr>
            </w:pPr>
            <w:r>
              <w:rPr>
                <w:rFonts w:hint="eastAsia" w:ascii="宋体" w:hAnsi="宋体"/>
                <w:sz w:val="24"/>
              </w:rPr>
              <w:t>序号</w:t>
            </w:r>
          </w:p>
        </w:tc>
        <w:tc>
          <w:tcPr>
            <w:tcW w:w="3001" w:type="dxa"/>
            <w:vAlign w:val="center"/>
          </w:tcPr>
          <w:p>
            <w:pPr>
              <w:jc w:val="center"/>
              <w:rPr>
                <w:rFonts w:ascii="宋体" w:hAnsi="宋体"/>
                <w:sz w:val="24"/>
              </w:rPr>
            </w:pPr>
            <w:r>
              <w:rPr>
                <w:rFonts w:hint="eastAsia" w:ascii="宋体" w:hAnsi="宋体"/>
                <w:sz w:val="24"/>
              </w:rPr>
              <w:t>软件或服务名称</w:t>
            </w:r>
          </w:p>
        </w:tc>
        <w:tc>
          <w:tcPr>
            <w:tcW w:w="1863" w:type="dxa"/>
            <w:vAlign w:val="center"/>
          </w:tcPr>
          <w:p>
            <w:pPr>
              <w:jc w:val="center"/>
              <w:rPr>
                <w:rFonts w:ascii="宋体" w:hAnsi="宋体"/>
                <w:sz w:val="24"/>
              </w:rPr>
            </w:pPr>
            <w:r>
              <w:rPr>
                <w:rFonts w:hint="eastAsia" w:ascii="宋体" w:hAnsi="宋体"/>
                <w:sz w:val="24"/>
              </w:rPr>
              <w:t>参考型号</w:t>
            </w:r>
          </w:p>
        </w:tc>
        <w:tc>
          <w:tcPr>
            <w:tcW w:w="763" w:type="dxa"/>
            <w:vAlign w:val="center"/>
          </w:tcPr>
          <w:p>
            <w:pPr>
              <w:jc w:val="center"/>
              <w:rPr>
                <w:rFonts w:ascii="宋体" w:hAnsi="宋体"/>
                <w:sz w:val="24"/>
              </w:rPr>
            </w:pPr>
            <w:r>
              <w:rPr>
                <w:rFonts w:hint="eastAsia" w:ascii="宋体" w:hAnsi="宋体"/>
                <w:sz w:val="24"/>
              </w:rPr>
              <w:t>数量</w:t>
            </w:r>
          </w:p>
        </w:tc>
        <w:tc>
          <w:tcPr>
            <w:tcW w:w="2010" w:type="dxa"/>
            <w:vAlign w:val="center"/>
          </w:tcPr>
          <w:p>
            <w:pPr>
              <w:jc w:val="center"/>
              <w:rPr>
                <w:rFonts w:ascii="宋体" w:hAnsi="宋体"/>
                <w:sz w:val="24"/>
              </w:rPr>
            </w:pPr>
            <w:r>
              <w:rPr>
                <w:rFonts w:hint="eastAsia" w:ascii="宋体" w:hAnsi="宋体"/>
                <w:sz w:val="24"/>
              </w:rPr>
              <w:t>价格</w:t>
            </w:r>
          </w:p>
          <w:p>
            <w:pPr>
              <w:jc w:val="center"/>
              <w:rPr>
                <w:rFonts w:ascii="宋体" w:hAnsi="宋体"/>
                <w:sz w:val="24"/>
              </w:rPr>
            </w:pPr>
            <w:r>
              <w:rPr>
                <w:rFonts w:hint="eastAsia" w:ascii="宋体" w:hAnsi="宋体"/>
                <w:sz w:val="24"/>
              </w:rPr>
              <w:t>（万元）</w:t>
            </w:r>
          </w:p>
        </w:tc>
        <w:tc>
          <w:tcPr>
            <w:tcW w:w="3510" w:type="dxa"/>
            <w:vAlign w:val="center"/>
          </w:tcPr>
          <w:p>
            <w:pPr>
              <w:jc w:val="center"/>
              <w:rPr>
                <w:rFonts w:ascii="宋体" w:hAnsi="宋体"/>
                <w:sz w:val="24"/>
              </w:rPr>
            </w:pPr>
            <w:r>
              <w:rPr>
                <w:rFonts w:hint="eastAsia" w:ascii="宋体" w:hAnsi="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9" w:hRule="atLeast"/>
        </w:trPr>
        <w:tc>
          <w:tcPr>
            <w:tcW w:w="566" w:type="dxa"/>
            <w:shd w:val="clear" w:color="auto" w:fill="auto"/>
            <w:vAlign w:val="center"/>
          </w:tcPr>
          <w:p>
            <w:pPr>
              <w:jc w:val="center"/>
              <w:rPr>
                <w:rFonts w:ascii="宋体" w:hAnsi="宋体"/>
                <w:szCs w:val="21"/>
              </w:rPr>
            </w:pPr>
            <w:r>
              <w:rPr>
                <w:rFonts w:hint="eastAsia" w:ascii="宋体" w:hAnsi="宋体"/>
                <w:szCs w:val="21"/>
              </w:rPr>
              <w:t>1</w:t>
            </w:r>
          </w:p>
        </w:tc>
        <w:tc>
          <w:tcPr>
            <w:tcW w:w="3001" w:type="dxa"/>
            <w:shd w:val="clear" w:color="FFFF00" w:fill="auto"/>
            <w:vAlign w:val="center"/>
          </w:tcPr>
          <w:p>
            <w:pPr>
              <w:jc w:val="center"/>
              <w:rPr>
                <w:rFonts w:ascii="宋体" w:hAnsi="宋体"/>
              </w:rPr>
            </w:pPr>
          </w:p>
        </w:tc>
        <w:tc>
          <w:tcPr>
            <w:tcW w:w="1863" w:type="dxa"/>
            <w:shd w:val="clear" w:color="FFFF00" w:fill="auto"/>
            <w:vAlign w:val="center"/>
          </w:tcPr>
          <w:p>
            <w:pPr>
              <w:autoSpaceDN w:val="0"/>
              <w:jc w:val="center"/>
              <w:textAlignment w:val="center"/>
              <w:rPr>
                <w:rFonts w:ascii="宋体" w:hAnsi="宋体"/>
                <w:sz w:val="24"/>
              </w:rPr>
            </w:pPr>
          </w:p>
        </w:tc>
        <w:tc>
          <w:tcPr>
            <w:tcW w:w="763" w:type="dxa"/>
            <w:shd w:val="clear" w:color="FFFF00" w:fill="auto"/>
            <w:vAlign w:val="center"/>
          </w:tcPr>
          <w:p>
            <w:pPr>
              <w:jc w:val="center"/>
              <w:rPr>
                <w:rFonts w:ascii="宋体" w:hAnsi="宋体"/>
                <w:szCs w:val="21"/>
              </w:rPr>
            </w:pPr>
          </w:p>
        </w:tc>
        <w:tc>
          <w:tcPr>
            <w:tcW w:w="2010" w:type="dxa"/>
            <w:vAlign w:val="center"/>
          </w:tcPr>
          <w:p>
            <w:pPr>
              <w:jc w:val="center"/>
              <w:rPr>
                <w:rFonts w:ascii="宋体" w:hAnsi="宋体"/>
                <w:sz w:val="24"/>
              </w:rPr>
            </w:pPr>
          </w:p>
        </w:tc>
        <w:tc>
          <w:tcPr>
            <w:tcW w:w="3510" w:type="dxa"/>
            <w:vAlign w:val="center"/>
          </w:tcPr>
          <w:p>
            <w:pPr>
              <w:jc w:val="center"/>
              <w:rPr>
                <w:rFonts w:ascii="宋体" w:hAnsi="宋体"/>
                <w:sz w:val="24"/>
              </w:rPr>
            </w:pPr>
            <w:r>
              <w:rPr>
                <w:rFonts w:hint="eastAsia" w:ascii="宋体" w:hAnsi="宋体"/>
                <w:sz w:val="24"/>
              </w:rPr>
              <w:t>功能需求详见附件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trPr>
        <w:tc>
          <w:tcPr>
            <w:tcW w:w="6193" w:type="dxa"/>
            <w:gridSpan w:val="4"/>
            <w:vAlign w:val="center"/>
          </w:tcPr>
          <w:p>
            <w:pPr>
              <w:jc w:val="center"/>
              <w:rPr>
                <w:rFonts w:ascii="宋体" w:hAnsi="宋体"/>
                <w:sz w:val="24"/>
              </w:rPr>
            </w:pPr>
            <w:r>
              <w:rPr>
                <w:rFonts w:hint="eastAsia" w:ascii="宋体" w:hAnsi="宋体"/>
                <w:sz w:val="24"/>
              </w:rPr>
              <w:t>合  计</w:t>
            </w:r>
          </w:p>
        </w:tc>
        <w:tc>
          <w:tcPr>
            <w:tcW w:w="2010" w:type="dxa"/>
            <w:vAlign w:val="center"/>
          </w:tcPr>
          <w:p>
            <w:pPr>
              <w:jc w:val="center"/>
              <w:rPr>
                <w:rFonts w:ascii="宋体" w:hAnsi="宋体"/>
                <w:sz w:val="24"/>
              </w:rPr>
            </w:pPr>
          </w:p>
        </w:tc>
        <w:tc>
          <w:tcPr>
            <w:tcW w:w="3510" w:type="dxa"/>
            <w:vAlign w:val="center"/>
          </w:tcPr>
          <w:p>
            <w:pPr>
              <w:jc w:val="center"/>
              <w:rPr>
                <w:rFonts w:ascii="宋体" w:hAnsi="宋体"/>
                <w:sz w:val="24"/>
              </w:rPr>
            </w:pPr>
          </w:p>
        </w:tc>
      </w:tr>
    </w:tbl>
    <w:p>
      <w:pPr>
        <w:rPr>
          <w:rFonts w:ascii="宋体" w:hAnsi="宋体"/>
          <w:sz w:val="28"/>
          <w:szCs w:val="28"/>
        </w:rPr>
      </w:pPr>
      <w:r>
        <w:rPr>
          <w:rFonts w:hint="eastAsia" w:ascii="宋体" w:hAnsi="宋体"/>
          <w:sz w:val="28"/>
          <w:szCs w:val="28"/>
        </w:rPr>
        <w:t xml:space="preserve">         联系人：                                    联系电话：</w:t>
      </w:r>
    </w:p>
    <w:p>
      <w:pPr>
        <w:spacing w:line="400" w:lineRule="exact"/>
        <w:rPr>
          <w:rFonts w:ascii="宋体" w:hAnsi="宋体"/>
          <w:sz w:val="24"/>
        </w:rPr>
      </w:pPr>
      <w:r>
        <w:rPr>
          <w:rFonts w:hint="eastAsia" w:ascii="宋体" w:hAnsi="宋体"/>
          <w:sz w:val="24"/>
        </w:rPr>
        <w:t>1、询价会报名截止时间为</w:t>
      </w:r>
      <w:r>
        <w:rPr>
          <w:rFonts w:ascii="宋体" w:hAnsi="宋体"/>
          <w:sz w:val="24"/>
        </w:rPr>
        <w:t>2019年</w:t>
      </w:r>
      <w:r>
        <w:rPr>
          <w:rFonts w:hint="eastAsia" w:ascii="宋体" w:hAnsi="宋体"/>
          <w:sz w:val="24"/>
          <w:lang w:val="en-US" w:eastAsia="zh-CN"/>
        </w:rPr>
        <w:t>9</w:t>
      </w:r>
      <w:r>
        <w:rPr>
          <w:rFonts w:ascii="宋体" w:hAnsi="宋体"/>
          <w:sz w:val="24"/>
        </w:rPr>
        <w:t>月</w:t>
      </w:r>
      <w:r>
        <w:rPr>
          <w:rFonts w:hint="eastAsia" w:ascii="宋体" w:hAnsi="宋体"/>
          <w:sz w:val="24"/>
          <w:lang w:val="en-US" w:eastAsia="zh-CN"/>
        </w:rPr>
        <w:t>5</w:t>
      </w:r>
      <w:r>
        <w:rPr>
          <w:rFonts w:ascii="宋体" w:hAnsi="宋体"/>
          <w:sz w:val="24"/>
        </w:rPr>
        <w:t>日</w:t>
      </w:r>
      <w:r>
        <w:rPr>
          <w:rFonts w:hint="eastAsia" w:ascii="宋体" w:hAnsi="宋体"/>
          <w:sz w:val="24"/>
        </w:rPr>
        <w:t xml:space="preserve"> 。</w:t>
      </w:r>
    </w:p>
    <w:p>
      <w:pPr>
        <w:spacing w:line="400" w:lineRule="exact"/>
        <w:rPr>
          <w:rFonts w:ascii="宋体" w:hAnsi="宋体"/>
          <w:sz w:val="24"/>
        </w:rPr>
      </w:pPr>
      <w:r>
        <w:rPr>
          <w:rFonts w:hint="eastAsia" w:ascii="宋体" w:hAnsi="宋体"/>
          <w:sz w:val="24"/>
        </w:rPr>
        <w:t>2、参与询价</w:t>
      </w:r>
      <w:r>
        <w:rPr>
          <w:rFonts w:hint="eastAsia" w:ascii="宋体" w:hAnsi="宋体"/>
          <w:sz w:val="24"/>
          <w:lang w:val="en-US" w:eastAsia="zh-CN"/>
        </w:rPr>
        <w:t>的</w:t>
      </w:r>
      <w:r>
        <w:rPr>
          <w:rFonts w:hint="eastAsia" w:ascii="宋体" w:hAnsi="宋体"/>
          <w:sz w:val="24"/>
        </w:rPr>
        <w:t>公司</w:t>
      </w:r>
      <w:r>
        <w:rPr>
          <w:rFonts w:hint="eastAsia" w:ascii="宋体" w:hAnsi="宋体"/>
          <w:sz w:val="24"/>
          <w:lang w:val="en-US" w:eastAsia="zh-CN"/>
        </w:rPr>
        <w:t>须</w:t>
      </w:r>
      <w:r>
        <w:rPr>
          <w:rFonts w:hint="eastAsia" w:ascii="宋体" w:hAnsi="宋体"/>
          <w:sz w:val="24"/>
        </w:rPr>
        <w:t>完成技术偏离表</w:t>
      </w:r>
      <w:r>
        <w:rPr>
          <w:rFonts w:hint="eastAsia" w:ascii="宋体" w:hAnsi="宋体"/>
          <w:sz w:val="24"/>
          <w:lang w:eastAsia="zh-CN"/>
        </w:rPr>
        <w:t>，</w:t>
      </w:r>
      <w:r>
        <w:rPr>
          <w:rFonts w:hint="eastAsia" w:ascii="宋体" w:hAnsi="宋体"/>
          <w:sz w:val="24"/>
          <w:lang w:val="en-US" w:eastAsia="zh-CN"/>
        </w:rPr>
        <w:t>提交</w:t>
      </w:r>
      <w:r>
        <w:rPr>
          <w:rFonts w:hint="eastAsia" w:ascii="宋体" w:hAnsi="宋体"/>
          <w:sz w:val="24"/>
        </w:rPr>
        <w:t>供货时间。</w:t>
      </w:r>
    </w:p>
    <w:p>
      <w:pPr>
        <w:spacing w:line="400" w:lineRule="exact"/>
        <w:rPr>
          <w:rFonts w:ascii="宋体" w:hAnsi="宋体"/>
          <w:sz w:val="24"/>
        </w:rPr>
      </w:pPr>
      <w:r>
        <w:rPr>
          <w:rFonts w:hint="eastAsia" w:ascii="宋体" w:hAnsi="宋体"/>
          <w:sz w:val="24"/>
        </w:rPr>
        <w:t>3、报价均为福州现场交货人民币价。</w:t>
      </w:r>
    </w:p>
    <w:p>
      <w:pPr>
        <w:spacing w:line="400" w:lineRule="exact"/>
        <w:rPr>
          <w:rFonts w:ascii="宋体" w:hAnsi="宋体"/>
          <w:sz w:val="24"/>
        </w:rPr>
      </w:pPr>
      <w:r>
        <w:rPr>
          <w:rFonts w:hint="eastAsia" w:ascii="宋体" w:hAnsi="宋体"/>
          <w:sz w:val="24"/>
        </w:rPr>
        <w:t>4、报价的产品应提供原厂的产品彩页或软件说明书。</w:t>
      </w:r>
    </w:p>
    <w:p>
      <w:pPr>
        <w:spacing w:line="400" w:lineRule="exact"/>
        <w:rPr>
          <w:rFonts w:ascii="宋体" w:hAnsi="宋体"/>
          <w:sz w:val="24"/>
        </w:rPr>
      </w:pPr>
      <w:r>
        <w:rPr>
          <w:rFonts w:hint="eastAsia" w:ascii="宋体" w:hAnsi="宋体"/>
          <w:sz w:val="24"/>
        </w:rPr>
        <w:t>5、询价单一式四份</w:t>
      </w:r>
    </w:p>
    <w:p>
      <w:pPr>
        <w:spacing w:line="400" w:lineRule="exact"/>
        <w:rPr>
          <w:rFonts w:ascii="宋体" w:hAnsi="宋体"/>
          <w:sz w:val="24"/>
        </w:rPr>
      </w:pPr>
      <w:r>
        <w:rPr>
          <w:rFonts w:hint="eastAsia" w:ascii="宋体" w:hAnsi="宋体"/>
          <w:sz w:val="24"/>
        </w:rPr>
        <w:t xml:space="preserve">6、询价时间和地点:时间-- </w:t>
      </w:r>
      <w:r>
        <w:rPr>
          <w:rFonts w:ascii="宋体" w:hAnsi="宋体"/>
          <w:sz w:val="24"/>
        </w:rPr>
        <w:t>2019年</w:t>
      </w:r>
      <w:r>
        <w:rPr>
          <w:rFonts w:hint="eastAsia" w:ascii="宋体" w:hAnsi="宋体"/>
          <w:sz w:val="24"/>
          <w:lang w:val="en-US" w:eastAsia="zh-CN"/>
        </w:rPr>
        <w:t>9</w:t>
      </w:r>
      <w:r>
        <w:rPr>
          <w:rFonts w:ascii="宋体" w:hAnsi="宋体"/>
          <w:sz w:val="24"/>
        </w:rPr>
        <w:t>月</w:t>
      </w:r>
      <w:r>
        <w:rPr>
          <w:rFonts w:hint="eastAsia" w:ascii="宋体" w:hAnsi="宋体"/>
          <w:sz w:val="24"/>
          <w:lang w:val="en-US" w:eastAsia="zh-CN"/>
        </w:rPr>
        <w:t>5</w:t>
      </w:r>
      <w:r>
        <w:rPr>
          <w:rFonts w:ascii="宋体" w:hAnsi="宋体"/>
          <w:sz w:val="24"/>
        </w:rPr>
        <w:t>日</w:t>
      </w:r>
      <w:r>
        <w:rPr>
          <w:rFonts w:hint="eastAsia" w:ascii="宋体" w:hAnsi="宋体"/>
          <w:sz w:val="24"/>
        </w:rPr>
        <w:t xml:space="preserve"> </w:t>
      </w:r>
      <w:r>
        <w:rPr>
          <w:rFonts w:hint="eastAsia" w:ascii="宋体" w:hAnsi="宋体"/>
          <w:sz w:val="24"/>
          <w:lang w:val="en-US" w:eastAsia="zh-CN"/>
        </w:rPr>
        <w:t>下</w:t>
      </w:r>
      <w:r>
        <w:rPr>
          <w:rFonts w:hint="eastAsia" w:ascii="宋体" w:hAnsi="宋体"/>
          <w:sz w:val="24"/>
        </w:rPr>
        <w:t>午</w:t>
      </w:r>
      <w:r>
        <w:rPr>
          <w:rFonts w:hint="eastAsia" w:ascii="宋体" w:hAnsi="宋体"/>
          <w:sz w:val="24"/>
          <w:lang w:val="en-US" w:eastAsia="zh-CN"/>
        </w:rPr>
        <w:t>3</w:t>
      </w:r>
      <w:r>
        <w:rPr>
          <w:rFonts w:hint="eastAsia" w:ascii="宋体" w:hAnsi="宋体"/>
          <w:sz w:val="24"/>
        </w:rPr>
        <w:t>:</w:t>
      </w:r>
      <w:r>
        <w:rPr>
          <w:rFonts w:hint="eastAsia" w:ascii="宋体" w:hAnsi="宋体"/>
          <w:sz w:val="24"/>
          <w:lang w:val="en-US" w:eastAsia="zh-CN"/>
        </w:rPr>
        <w:t>0</w:t>
      </w:r>
      <w:r>
        <w:rPr>
          <w:rFonts w:hint="eastAsia" w:ascii="宋体" w:hAnsi="宋体"/>
          <w:sz w:val="24"/>
        </w:rPr>
        <w:t>0，地点----</w:t>
      </w:r>
      <w:r>
        <w:rPr>
          <w:rFonts w:hint="eastAsia" w:ascii="宋体" w:hAnsi="宋体"/>
          <w:sz w:val="24"/>
          <w:lang w:val="en-US" w:eastAsia="zh-CN"/>
        </w:rPr>
        <w:t>图书馆六楼</w:t>
      </w:r>
      <w:r>
        <w:rPr>
          <w:rFonts w:hint="eastAsia" w:ascii="宋体" w:hAnsi="宋体"/>
          <w:sz w:val="24"/>
        </w:rPr>
        <w:t>会议室。</w:t>
      </w:r>
    </w:p>
    <w:p>
      <w:pPr>
        <w:jc w:val="center"/>
        <w:rPr>
          <w:rFonts w:ascii="隶书" w:eastAsia="隶书"/>
          <w:sz w:val="36"/>
          <w:szCs w:val="32"/>
        </w:rPr>
      </w:pPr>
    </w:p>
    <w:p>
      <w:pPr>
        <w:jc w:val="center"/>
        <w:rPr>
          <w:rFonts w:ascii="隶书" w:eastAsia="隶书"/>
          <w:sz w:val="36"/>
          <w:szCs w:val="32"/>
        </w:rPr>
      </w:pPr>
    </w:p>
    <w:p>
      <w:pPr>
        <w:rPr>
          <w:rFonts w:ascii="隶书" w:eastAsia="隶书"/>
          <w:sz w:val="36"/>
          <w:szCs w:val="32"/>
        </w:rPr>
      </w:pPr>
    </w:p>
    <w:p>
      <w:pPr>
        <w:jc w:val="center"/>
        <w:rPr>
          <w:rFonts w:ascii="隶书" w:eastAsia="隶书"/>
          <w:sz w:val="36"/>
          <w:szCs w:val="32"/>
        </w:rPr>
      </w:pPr>
      <w:r>
        <w:rPr>
          <w:rFonts w:hint="eastAsia" w:ascii="隶书" w:eastAsia="隶书"/>
          <w:sz w:val="36"/>
          <w:szCs w:val="32"/>
        </w:rPr>
        <w:t>技术规格偏离表</w:t>
      </w:r>
    </w:p>
    <w:p>
      <w:pPr>
        <w:tabs>
          <w:tab w:val="left" w:pos="5355"/>
        </w:tabs>
        <w:spacing w:line="360" w:lineRule="auto"/>
        <w:rPr>
          <w:rFonts w:ascii="仿宋_GB2312" w:hAnsi="宋体" w:eastAsia="仿宋_GB2312"/>
          <w:sz w:val="24"/>
        </w:rPr>
      </w:pPr>
      <w:r>
        <w:rPr>
          <w:rFonts w:hint="eastAsia" w:ascii="仿宋_GB2312" w:hAnsi="宋体" w:eastAsia="仿宋_GB2312"/>
          <w:sz w:val="24"/>
        </w:rPr>
        <w:t>报价方名称（全称）：</w:t>
      </w:r>
    </w:p>
    <w:tbl>
      <w:tblPr>
        <w:tblStyle w:val="11"/>
        <w:tblW w:w="1343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9"/>
        <w:gridCol w:w="4262"/>
        <w:gridCol w:w="4262"/>
        <w:gridCol w:w="4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5" w:hRule="atLeast"/>
          <w:jc w:val="center"/>
        </w:trPr>
        <w:tc>
          <w:tcPr>
            <w:tcW w:w="649"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序号</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技 术 要 求</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 xml:space="preserve"> 响 应 情 况</w:t>
            </w:r>
          </w:p>
        </w:tc>
        <w:tc>
          <w:tcPr>
            <w:tcW w:w="4262" w:type="dxa"/>
            <w:vAlign w:val="center"/>
          </w:tcPr>
          <w:p>
            <w:pPr>
              <w:tabs>
                <w:tab w:val="left" w:pos="5355"/>
              </w:tabs>
              <w:spacing w:line="240" w:lineRule="exact"/>
              <w:ind w:right="-15" w:rightChars="-7"/>
              <w:jc w:val="center"/>
              <w:rPr>
                <w:rFonts w:ascii="宋体" w:hAnsi="宋体"/>
                <w:spacing w:val="-10"/>
              </w:rPr>
            </w:pPr>
            <w:r>
              <w:rPr>
                <w:rFonts w:hint="eastAsia" w:ascii="宋体" w:hAnsi="宋体"/>
                <w:spacing w:val="-10"/>
              </w:rPr>
              <w:t>偏 离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jc w:val="center"/>
              <w:rPr>
                <w:rFonts w:ascii="仿宋_GB2312" w:hAnsi="宋体" w:eastAsia="仿宋_GB2312"/>
                <w:sz w:val="18"/>
                <w:u w:val="single"/>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80" w:hRule="atLeast"/>
          <w:jc w:val="center"/>
        </w:trPr>
        <w:tc>
          <w:tcPr>
            <w:tcW w:w="649" w:type="dxa"/>
            <w:vAlign w:val="center"/>
          </w:tcPr>
          <w:p>
            <w:pPr>
              <w:tabs>
                <w:tab w:val="left" w:pos="5355"/>
              </w:tabs>
              <w:jc w:val="center"/>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c>
          <w:tcPr>
            <w:tcW w:w="4262" w:type="dxa"/>
            <w:vAlign w:val="center"/>
          </w:tcPr>
          <w:p>
            <w:pPr>
              <w:tabs>
                <w:tab w:val="left" w:pos="5355"/>
              </w:tabs>
              <w:rPr>
                <w:rFonts w:ascii="仿宋_GB2312" w:hAnsi="宋体" w:eastAsia="仿宋_GB2312"/>
                <w:sz w:val="18"/>
              </w:rPr>
            </w:pPr>
          </w:p>
        </w:tc>
      </w:tr>
    </w:tbl>
    <w:p/>
    <w:p/>
    <w:p/>
    <w:p/>
    <w:p>
      <w:pPr>
        <w:rPr>
          <w:b/>
          <w:bCs/>
          <w:sz w:val="24"/>
        </w:rPr>
      </w:pPr>
    </w:p>
    <w:p>
      <w:pPr>
        <w:rPr>
          <w:b/>
          <w:bCs/>
          <w:sz w:val="24"/>
        </w:rPr>
      </w:pPr>
    </w:p>
    <w:p>
      <w:pPr>
        <w:jc w:val="center"/>
        <w:rPr>
          <w:rFonts w:asciiTheme="minorEastAsia" w:hAnsiTheme="minorEastAsia" w:eastAsiaTheme="minorEastAsia"/>
          <w:sz w:val="36"/>
          <w:szCs w:val="36"/>
        </w:rPr>
      </w:pPr>
      <w:r>
        <w:rPr>
          <w:rFonts w:hint="eastAsia" w:asciiTheme="minorEastAsia" w:hAnsiTheme="minorEastAsia" w:eastAsiaTheme="minorEastAsia"/>
          <w:sz w:val="36"/>
          <w:szCs w:val="36"/>
        </w:rPr>
        <w:t>虚拟仿真实验教学综合管理平台</w:t>
      </w:r>
    </w:p>
    <w:p>
      <w:pPr>
        <w:jc w:val="center"/>
        <w:rPr>
          <w:rFonts w:asciiTheme="minorEastAsia" w:hAnsiTheme="minorEastAsia" w:eastAsiaTheme="minorEastAsia"/>
          <w:sz w:val="36"/>
          <w:szCs w:val="36"/>
        </w:rPr>
      </w:pPr>
      <w:r>
        <w:rPr>
          <w:rFonts w:hint="eastAsia" w:asciiTheme="minorEastAsia" w:hAnsiTheme="minorEastAsia" w:eastAsiaTheme="minorEastAsia"/>
          <w:sz w:val="36"/>
          <w:szCs w:val="36"/>
        </w:rPr>
        <w:t>软件招标技术参数</w:t>
      </w:r>
    </w:p>
    <w:p>
      <w:pPr>
        <w:spacing w:line="300" w:lineRule="exact"/>
        <w:jc w:val="left"/>
        <w:rPr>
          <w:rStyle w:val="33"/>
          <w:rFonts w:hint="default" w:asciiTheme="minorEastAsia" w:hAnsiTheme="minorEastAsia" w:eastAsiaTheme="minorEastAsia"/>
          <w:sz w:val="21"/>
          <w:szCs w:val="21"/>
        </w:rPr>
      </w:pP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一、校级门户网站</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1.1以教育部《教育信息化标准》为元数据标准，规划中心数据库，设计数据共享与交换规则，以实现系统之间的快速集成，与学校其他软硬件系统的集成，与学校网上办事大厅平台的集成。</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1.2</w:t>
      </w:r>
      <w:r>
        <w:rPr>
          <w:rFonts w:hint="eastAsia"/>
        </w:rPr>
        <w:t>虚拟仿真</w:t>
      </w:r>
      <w:r>
        <w:rPr>
          <w:rStyle w:val="33"/>
          <w:rFonts w:hint="default" w:asciiTheme="minorEastAsia" w:hAnsiTheme="minorEastAsia" w:eastAsiaTheme="minorEastAsia"/>
          <w:sz w:val="21"/>
          <w:szCs w:val="21"/>
        </w:rPr>
        <w:t>管理平台分为三个层级：校级、院级、虚拟仿真实验项目。通过一个校级平台管理多个院级平台，同时每个院级可以管理多个虚拟仿真实验项目。</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1.3包含一个校级门户页面，提供虚拟仿真教学中心、实验教学中心、项目评审展示、实验室安全考核演练等模块，按校方要求进行个性化定制，展示中心概况、实验教学、实验队伍、教学设施、管理制度、联系我们等信息栏目，以上栏目为校级中心门户网站可展示，其名称可以根据学校要求进行自定义修改。</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1.4相关管理权限能自主发布新闻、公告、通知等信息，新闻、公告等信息按照信息栏目进行组织，信息栏目由用户自定义自维护，支持文本、图片、附件、表格、链接等编辑功能；</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1.5平台用户包括系统管理员、教务管理、学院领导、实验中心管理员、教师、学生等，学校可以根据自身实际情况开通角色权限。</w:t>
      </w:r>
      <w:r>
        <w:rPr>
          <w:rFonts w:hint="eastAsia" w:asciiTheme="minorEastAsia" w:hAnsiTheme="minorEastAsia" w:eastAsiaTheme="minorEastAsia"/>
          <w:szCs w:val="21"/>
        </w:rPr>
        <w:t>对常见的数据库安全、服务器安全做了有效防护，并且通过国内主流第三方安全检测，达到信息安全等级保护二级要求。</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二、院级虚拟中心门户网站</w:t>
      </w:r>
    </w:p>
    <w:p>
      <w:pPr>
        <w:spacing w:line="300" w:lineRule="exac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2.1包含五个院级（</w:t>
      </w:r>
      <w:r>
        <w:rPr>
          <w:rFonts w:hint="eastAsia" w:asciiTheme="minorEastAsia" w:hAnsiTheme="minorEastAsia" w:eastAsiaTheme="minorEastAsia"/>
          <w:bCs/>
          <w:color w:val="000000"/>
          <w:szCs w:val="21"/>
        </w:rPr>
        <w:t>临床技能虚拟仿真实验教学中心</w:t>
      </w:r>
      <w:r>
        <w:rPr>
          <w:rFonts w:asciiTheme="minorEastAsia" w:hAnsiTheme="minorEastAsia" w:eastAsiaTheme="minorEastAsia"/>
          <w:bCs/>
          <w:color w:val="000000"/>
          <w:szCs w:val="21"/>
        </w:rPr>
        <w:t xml:space="preserve"> </w:t>
      </w:r>
      <w:r>
        <w:rPr>
          <w:rStyle w:val="33"/>
          <w:rFonts w:hint="default" w:asciiTheme="minorEastAsia" w:hAnsiTheme="minorEastAsia" w:eastAsiaTheme="minorEastAsia"/>
          <w:sz w:val="21"/>
          <w:szCs w:val="21"/>
        </w:rPr>
        <w:t>、</w:t>
      </w:r>
      <w:r>
        <w:rPr>
          <w:rFonts w:hint="eastAsia" w:asciiTheme="minorEastAsia" w:hAnsiTheme="minorEastAsia" w:eastAsiaTheme="minorEastAsia"/>
          <w:bCs/>
          <w:color w:val="000000"/>
          <w:szCs w:val="21"/>
        </w:rPr>
        <w:t>中药学虚拟仿真实验教学中心</w:t>
      </w:r>
      <w:r>
        <w:rPr>
          <w:rFonts w:asciiTheme="minorEastAsia" w:hAnsiTheme="minorEastAsia" w:eastAsiaTheme="minorEastAsia"/>
          <w:bCs/>
          <w:color w:val="000000"/>
          <w:szCs w:val="21"/>
        </w:rPr>
        <w:t xml:space="preserve"> </w:t>
      </w:r>
      <w:r>
        <w:rPr>
          <w:rStyle w:val="33"/>
          <w:rFonts w:hint="default" w:asciiTheme="minorEastAsia" w:hAnsiTheme="minorEastAsia" w:eastAsiaTheme="minorEastAsia"/>
          <w:sz w:val="21"/>
          <w:szCs w:val="21"/>
        </w:rPr>
        <w:t>、</w:t>
      </w:r>
      <w:r>
        <w:rPr>
          <w:rFonts w:hint="eastAsia" w:asciiTheme="minorEastAsia" w:hAnsiTheme="minorEastAsia" w:eastAsiaTheme="minorEastAsia"/>
          <w:bCs/>
          <w:color w:val="000000"/>
          <w:szCs w:val="21"/>
        </w:rPr>
        <w:t>中医学虚拟仿真实验教学中心</w:t>
      </w:r>
      <w:r>
        <w:rPr>
          <w:rFonts w:asciiTheme="minorEastAsia" w:hAnsiTheme="minorEastAsia" w:eastAsiaTheme="minorEastAsia"/>
          <w:bCs/>
          <w:color w:val="000000"/>
          <w:szCs w:val="21"/>
        </w:rPr>
        <w:t xml:space="preserve"> </w:t>
      </w:r>
      <w:r>
        <w:rPr>
          <w:rStyle w:val="33"/>
          <w:rFonts w:hint="default" w:asciiTheme="minorEastAsia" w:hAnsiTheme="minorEastAsia" w:eastAsiaTheme="minorEastAsia"/>
          <w:sz w:val="21"/>
          <w:szCs w:val="21"/>
        </w:rPr>
        <w:t>、</w:t>
      </w:r>
      <w:r>
        <w:rPr>
          <w:rFonts w:hint="eastAsia" w:asciiTheme="minorEastAsia" w:hAnsiTheme="minorEastAsia" w:eastAsiaTheme="minorEastAsia"/>
          <w:bCs/>
          <w:color w:val="000000"/>
          <w:szCs w:val="21"/>
        </w:rPr>
        <w:t>康复虚拟仿真实验教学中心</w:t>
      </w:r>
      <w:r>
        <w:rPr>
          <w:rFonts w:asciiTheme="minorEastAsia" w:hAnsiTheme="minorEastAsia" w:eastAsiaTheme="minorEastAsia"/>
          <w:bCs/>
          <w:color w:val="000000"/>
          <w:szCs w:val="21"/>
        </w:rPr>
        <w:t xml:space="preserve"> </w:t>
      </w:r>
      <w:r>
        <w:rPr>
          <w:rStyle w:val="33"/>
          <w:rFonts w:hint="default" w:asciiTheme="minorEastAsia" w:hAnsiTheme="minorEastAsia" w:eastAsiaTheme="minorEastAsia"/>
          <w:sz w:val="21"/>
          <w:szCs w:val="21"/>
        </w:rPr>
        <w:t>、</w:t>
      </w:r>
      <w:r>
        <w:rPr>
          <w:rFonts w:hint="eastAsia" w:asciiTheme="minorEastAsia" w:hAnsiTheme="minorEastAsia" w:eastAsiaTheme="minorEastAsia"/>
          <w:bCs/>
          <w:color w:val="000000"/>
          <w:szCs w:val="21"/>
        </w:rPr>
        <w:t>护理学虚拟仿真实验教学中心</w:t>
      </w:r>
      <w:r>
        <w:rPr>
          <w:rFonts w:asciiTheme="minorEastAsia" w:hAnsiTheme="minorEastAsia" w:eastAsiaTheme="minorEastAsia"/>
          <w:bCs/>
          <w:color w:val="000000"/>
          <w:szCs w:val="21"/>
        </w:rPr>
        <w:t xml:space="preserve"> </w:t>
      </w:r>
      <w:r>
        <w:rPr>
          <w:rStyle w:val="33"/>
          <w:rFonts w:hint="default" w:asciiTheme="minorEastAsia" w:hAnsiTheme="minorEastAsia" w:eastAsiaTheme="minorEastAsia"/>
          <w:sz w:val="21"/>
          <w:szCs w:val="21"/>
        </w:rPr>
        <w:t>）虚拟仿真中心门户网站， 包括：中心简介、教学资源、教研成果、教学管理、实验教学、管理制度、申报材料、通知公告、校企合作、开放分享等可自定义栏目模块，以上各模块都可无限制添加自定义名称栏目模块。</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2.2每个栏目都支持外链视频插入、本地上传等多功能富文本编辑。</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2.3中心简介栏目模块包括：中心简介、中心视频、中心主任、师资队伍等可自定义名称栏目。</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2.4管理制度栏目模块包括：国家部委文件、学校文件、学院文件、中心文件等可自定义名称栏目。</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2.5教研成果栏目模块包括：教学成果、教改项目、教改论文、科研论文等可自定义名称栏目。</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2.6教学管理栏目模块包括：教学计划、教学日历等可自定义名称栏目。</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2.7教学资源栏目模块包括：教学课件、精品课程、教学视频、教材专著等可自定义名称栏目。</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三、校级管理后台</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3.1内容包含：虚拟仿真实验总数、虚拟实验总完成次数、虚拟实验使用总时长、虚拟平台总访问量、虚拟资源分布图、虚拟实验室、实验使用次数排行、实验使用时长排行、各院校实验查看排行、资源总览、虚拟实验使用次数和时长分布统计、学院学生实验使用总次数分布排行查院级学生排行、院级教师排行、虚拟实验使用次数时长排行。</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3.2虚拟仿真实验项目查看。</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四、院级管理后台</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4.1内容包含：该院校本周教学任务、该院校各班成绩、院级成绩段分布、学生排行、教师排行、资源总览、虚拟实验使用次数和时长分布统计、学院学生实验使用总次数分布排行查询--院级学生排行、院级教师排行、虚拟实验使用次数时长排行.</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4.2各虚拟仿真实验项目查看。</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五、实验室管理模块</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5.1实验室大楼管理包含实验大楼楼栋管理、楼层管理、实验室管理。</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5.2大楼楼栋包括可添加各类实验大楼相关信息。</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5.3楼层模块包括不同大楼增加对应的所需楼层信息。</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5.4实验室管理包括添加实验室相关信息，用于实验室网上在线预约。</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5.5实验设备管理模块包括实验设备的添加、实验设备的管理、关联相关实验室等功能。</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六、实验室预约模块</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6.1软件支持在线预约实验室相关设备或实验室、管理员在线审批功能。</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6.2软件支持PC、手机双端在线同步预约、审批功能。</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6.3软件支持帐号绑定微信帐号，手机号码获取开门二维码。</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6.4软件支持实验室智能门锁二维码无人值守开门。</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七、虚拟仿真实验管理模块</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7.1虚拟仿真实验的发布和管理：虚拟仿真实验总数、虚拟实验总完成次数、虚拟实验使用总时长、虚拟平台总访问量、虚拟资源分布图、虚拟实验室、实验使用次数排行、实验使用时长排行、各院校实验查看、含虚拟仿真实验管理、虚拟仿真实验报告、虚拟仿真实验接口（没有数量限制）系统。</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7.2虚拟仿真实验管理包括虚拟仿真实验的添加、虚拟仿真实验记录查询。能无缝添加包括HTML 、flash、exe、unity3D等制作的虚拟仿真实验。</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7.3虚拟仿真实验报告：包括虚拟仿真实验报告在线阅读、成绩在线批改、包括虚拟仿真实验成绩的导出、包括虚拟仿真实验报告的在线浏览、查询和批阅。</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7.4虚拟仿真实验接口：能够接入各种网络版（包括HTML 5）的虚拟仿真实验资源和flash版的虚拟仿真实验资源，能够对单机版的虚拟仿真实验资源进行虚拟化桌面的接入。</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7.5兼容市面上大部分主流厂家的第三方虚拟仿真软件，能正常进行仿真实验以及能够跟第三方平台进行数据对接。</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7.6虚拟仿真实验行为记录和统计：记录学生登录进行虚拟仿真实验的时间和次数并进行图表反应虚拟仿真实验的访问量和点击率，统计学生实验错误步骤排行，学生学习进度，和整体班级完成进度，成绩统计，可以自由选择时段查询、可以选择角色查询、可以生成报表统计和打印。</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7.7虚拟仿真实验课程管理：支持老师针对不同年级、不同班级下发对应专业的虚拟仿真实验教学、考核相关任务。让学生在任务期间学习老师相关下发的教学资源和参加在线虚拟仿真实验练习，考核等功能模块。</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★7.8数字化教学资源管理模块包括：教学课件发布管理模块、精品课程发布管理模块、教学视频发布管理模块、数字化课程发布管理模块。</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★7.9虚拟仿真动画视频资源库（包含以下3D虚拟仿真实验）：信号转导研究中蛋白体外磷酸化虚拟仿真实验（含实验目的、实验原理、练习模式等）、全细胞膜片钳虚拟综合实验（含细胞培养、细胞转染、</w:t>
      </w:r>
      <w:r>
        <w:rPr>
          <w:rStyle w:val="33"/>
          <w:rFonts w:hint="default"/>
          <w:sz w:val="21"/>
          <w:szCs w:val="21"/>
        </w:rPr>
        <w:t>全细胞膜片钳</w:t>
      </w:r>
      <w:r>
        <w:rPr>
          <w:rStyle w:val="33"/>
          <w:rFonts w:hint="default" w:asciiTheme="minorEastAsia" w:hAnsiTheme="minorEastAsia" w:eastAsiaTheme="minorEastAsia"/>
          <w:sz w:val="21"/>
          <w:szCs w:val="21"/>
        </w:rPr>
        <w:t>操作等）、HPLC法测定杭白菊中功能活性黄酮的含量虚拟仿真实验（含</w:t>
      </w:r>
      <w:r>
        <w:rPr>
          <w:rFonts w:hint="eastAsia" w:ascii="宋体" w:hAnsi="宋体" w:cs="宋体"/>
          <w:szCs w:val="21"/>
        </w:rPr>
        <w:t>虚拟实验学习、虚拟实验步骤等</w:t>
      </w:r>
      <w:r>
        <w:rPr>
          <w:rStyle w:val="33"/>
          <w:rFonts w:hint="default" w:asciiTheme="minorEastAsia" w:hAnsiTheme="minorEastAsia" w:eastAsiaTheme="minorEastAsia"/>
          <w:sz w:val="21"/>
          <w:szCs w:val="21"/>
        </w:rPr>
        <w:t>）、药剂学GMP虚拟仿真综合实训系统（含</w:t>
      </w:r>
      <w:r>
        <w:rPr>
          <w:rFonts w:hint="eastAsia" w:ascii="宋体" w:hAnsi="宋体" w:cs="宋体"/>
          <w:szCs w:val="21"/>
        </w:rPr>
        <w:t>对生产车间场景及生产线仪器设备的三维虚拟化、对应的软件操作界面、有学习模式和测试模式及操作步骤等</w:t>
      </w:r>
      <w:r>
        <w:rPr>
          <w:rStyle w:val="33"/>
          <w:rFonts w:hint="default" w:asciiTheme="minorEastAsia" w:hAnsiTheme="minorEastAsia" w:eastAsiaTheme="minorEastAsia"/>
          <w:sz w:val="21"/>
          <w:szCs w:val="21"/>
        </w:rPr>
        <w:t>）、感冒药的用药指导虚拟仿真实验（含</w:t>
      </w:r>
      <w:r>
        <w:rPr>
          <w:rFonts w:hint="eastAsia" w:ascii="宋体" w:hAnsi="宋体" w:cs="宋体"/>
          <w:szCs w:val="21"/>
        </w:rPr>
        <w:t>感冒介绍、服务步骤、用药指导等</w:t>
      </w:r>
      <w:r>
        <w:rPr>
          <w:rStyle w:val="33"/>
          <w:rFonts w:hint="default" w:asciiTheme="minorEastAsia" w:hAnsiTheme="minorEastAsia" w:eastAsiaTheme="minorEastAsia"/>
          <w:sz w:val="21"/>
          <w:szCs w:val="21"/>
        </w:rPr>
        <w:t>）、药品贮存和养护虚拟仿真实验（含</w:t>
      </w:r>
      <w:r>
        <w:rPr>
          <w:rFonts w:hint="eastAsia" w:ascii="宋体" w:hAnsi="宋体" w:cs="宋体"/>
          <w:bCs/>
          <w:szCs w:val="21"/>
        </w:rPr>
        <w:t>基本技能等</w:t>
      </w:r>
      <w:r>
        <w:rPr>
          <w:rStyle w:val="33"/>
          <w:rFonts w:hint="default" w:asciiTheme="minorEastAsia" w:hAnsiTheme="minorEastAsia" w:eastAsiaTheme="minorEastAsia"/>
          <w:sz w:val="21"/>
          <w:szCs w:val="21"/>
        </w:rPr>
        <w:t>）、药品收货与验收虚拟仿真实验（含</w:t>
      </w:r>
      <w:r>
        <w:rPr>
          <w:rFonts w:hint="eastAsia" w:ascii="宋体" w:hAnsi="宋体" w:cs="宋体"/>
          <w:szCs w:val="21"/>
        </w:rPr>
        <w:t>相关操作等</w:t>
      </w:r>
      <w:r>
        <w:rPr>
          <w:rStyle w:val="33"/>
          <w:rFonts w:hint="default" w:asciiTheme="minorEastAsia" w:hAnsiTheme="minorEastAsia" w:eastAsiaTheme="minorEastAsia"/>
          <w:sz w:val="21"/>
          <w:szCs w:val="21"/>
        </w:rPr>
        <w:t>）、药物检测实训虚拟仿真实验（含</w:t>
      </w:r>
      <w:r>
        <w:rPr>
          <w:rFonts w:hint="eastAsia" w:ascii="宋体" w:hAnsi="宋体" w:cs="宋体"/>
          <w:szCs w:val="21"/>
        </w:rPr>
        <w:t>实验任务、实验步骤等</w:t>
      </w:r>
      <w:r>
        <w:rPr>
          <w:rStyle w:val="33"/>
          <w:rFonts w:hint="default" w:asciiTheme="minorEastAsia" w:hAnsiTheme="minorEastAsia" w:eastAsiaTheme="minorEastAsia"/>
          <w:sz w:val="21"/>
          <w:szCs w:val="21"/>
        </w:rPr>
        <w:t>）、显微镜操作虚拟仿真实验（含准备、取样、调节等）、动物多样性及其进化虚拟仿真实验（含各门纲的代表动物等）、中药鉴定虚拟仿真实验（含</w:t>
      </w:r>
      <w:r>
        <w:rPr>
          <w:rFonts w:hint="eastAsia" w:ascii="宋体" w:hAnsi="宋体" w:cs="宋体"/>
          <w:szCs w:val="21"/>
        </w:rPr>
        <w:t>中药饮片识别等</w:t>
      </w:r>
      <w:r>
        <w:rPr>
          <w:rStyle w:val="33"/>
          <w:rFonts w:hint="default" w:asciiTheme="minorEastAsia" w:hAnsiTheme="minorEastAsia" w:eastAsiaTheme="minorEastAsia"/>
          <w:sz w:val="21"/>
          <w:szCs w:val="21"/>
        </w:rPr>
        <w:t>）。</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7.10数字化教学资源管理模块包含一批生物学数字化教学资源：(1)包含生物化学原理动画83个，包括：生物膜的双亲性、简单扩散、促进扩散、主动运输、大分子的内吞和外排作用、蛋白质的等电点、钥匙理论、诱导契合理论、竞争性抑制、酶的活性中心、呼吸链、直接脱羧、氧化脱羧、呼吸链的阻断、解偶联作用、ɑ-磷酸甘油穿梭 、苹果酸穿梭、ATP的生成利用 、糖的酵解反应、丙酮酸的氧化脱羧、三羧酸循环、丙酮酸羧化支路、脂肪的水解、甘油代谢、脂肪酸的活化、脂肪酸的跨膜运输、B-氧化作用、酮体的生成、氧化脱氨基作用、转氨基作用、联合脱氨基作用、鸟氨酸循环、脂酰肉碱的生成、复制的起始、DNA链的延伸、复制终止、转录起始、RNA链的延伸、转录终止、起始复合物的生成、肽链的合成、PCR作用、tRNA的三叶草结构、剪接修饰、首尾修饰、蛋白质合成过程、蛋白质的变性、DNA的变性、DNA的复性、DNA的一级结构、DNA的双螺旋结构、DNA的超螺旋结构、蛋白质的一级结构、蛋白质的二级结构、蛋白质的三级结构、蛋白质的四级结构、可逆抑制、不可逆抑制、电泳原理、离心原理、木桶效应（限制性氨基酸）、酮体的利用 、磷酸戊糖途径、血糖的形成与运输、血浆脂蛋白的形成、NAD呼吸链、FAD呼吸链、底物磷酸化、氧化磷酸化、同工酶、变构效应、胰酶的激活、端粒与端粒酶、全酶、有机磷农药中毒、磺胺药的抗菌机理、蛋白质的两性、肽链的形成、核苷的形成、核苷酸的形成、多磷核苷酸的生成、ADP与ATP的转化、非竞争性抑制。(2)包含动物解剖生理动画13个，包括：有丝分裂的过程动画、细胞分化动画、体液调节动画、腹腔的划分动画、铁的吸收动画、呼吸运动动画、肺换气动画、组织换气动画、肾小球的滤过作用动画、兴奋性突触的传递动画、抑制性突触的传递动画、深感觉传导通路动画、浅感觉传导通路动画。(3)包含仪器原理动画19个，包括：红外光路原理动画、红外仪器操作动画、熔点仪的使用、液相检测器光路原理、液相液体传输原理、六通阀原理、液相仪器组成原理、熔点测定仪原理、原子吸收仪器原理、原子吸收空心阴极灯原理、原子吸收光路原理、原子吸收仪器组成原理、酸度计原理、液相色谱柱分离原理、气相气路系统原理、气相进样系统原理、气相分离系统原理、电子分析天平组成、熔点仪组成动画。(4)包含内置不少于80个动物解剖生理学三维模型资源库，内容包括：牛、羊、猪、犬、马的骨骼、肌肉、消化系统、内脏组织结构、呼吸系统、泌尿生殖系统等。采用三维建模。(5)包含仪器分析虚拟小实验2个：气相色谱仪有机磷含量测定、高效液相色谱仿真。(6)包含内置不少于120种切片库，内容包括：牛、羊、猪、犬、兔、鸭的神经系统、消化系统、泌尿生殖系统、疏松结缔组织等相关切片。(7)包含15种动物实物铸型模块，内容包括：牛、羊、猪、犬、马的血管铸型模块。</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★7.11</w:t>
      </w:r>
      <w:r>
        <w:rPr>
          <w:rFonts w:hint="eastAsia" w:cs="宋体" w:asciiTheme="minorEastAsia" w:hAnsiTheme="minorEastAsia" w:eastAsiaTheme="minorEastAsia"/>
          <w:szCs w:val="21"/>
        </w:rPr>
        <w:t>实验室安全虚拟演练资源模块：（1）</w:t>
      </w:r>
      <w:r>
        <w:rPr>
          <w:rStyle w:val="33"/>
          <w:rFonts w:hint="default" w:asciiTheme="minorEastAsia" w:hAnsiTheme="minorEastAsia" w:eastAsiaTheme="minorEastAsia"/>
          <w:sz w:val="21"/>
          <w:szCs w:val="21"/>
        </w:rPr>
        <w:t>生物安全实验室分级学习：包括实验室的布局、围护结构、生物污染区、送排风系统、环境参数、特殊设备和其它设备设施等。（2）虚拟安全防护设备的操作培训包括两方面：一是实验操作设备的标准化操作三维虚拟；二是个体防护装备的佩戴及操作虚拟。（3）虚拟生物安全防护实验室体验。（4）虚拟生物安全防护实验室防护知识学习（游戏模式）。（5）生物安全实验室不规范操作行为纠错。（6）虚拟生物安全防护实验室安全防护问题纠错（闯关模式）。（7）虚拟生物安全防护实验室改造（闯关模式）。（8）生物安全实验室突发事件应急演练模块</w:t>
      </w:r>
      <w:r>
        <w:rPr>
          <w:rFonts w:hint="eastAsia" w:cs="宋体" w:asciiTheme="minorEastAsia" w:hAnsiTheme="minorEastAsia" w:eastAsiaTheme="minorEastAsia"/>
          <w:szCs w:val="21"/>
        </w:rPr>
        <w:t>：</w:t>
      </w:r>
      <w:r>
        <w:rPr>
          <w:rStyle w:val="33"/>
          <w:rFonts w:hint="default" w:asciiTheme="minorEastAsia" w:hAnsiTheme="minorEastAsia" w:eastAsiaTheme="minorEastAsia"/>
          <w:sz w:val="21"/>
          <w:szCs w:val="21"/>
        </w:rPr>
        <w:t>应急预案知识学习；三维虚拟应急预案处置学习；三维虚拟微生物或化学性污染突发事件处理（闯关模式）；三维虚拟实验室安全事故应急处理（闯关模式）；实验教学大楼及实验室火场逃生演练。（9）安全演练模块角色选择：可以选择扮演学生，课程老师，实验人员三种角色，以第三人称视角进行虚拟仿真实训。（10）扮演学生角色：主要内容包括①行为操作规范培训②实验室生物安全培训③意外情况处理培训。（11）扮演教师角色：课后巩固通过选择题的方式进行相关知识点的考核；课程报告可以下载一份课程报告到本地；课程评价。（12）扮演实验人员角色：个人防护用品穿脱；生物安全事故应急演练。</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 xml:space="preserve">八、虚实实验室信息管理系统： </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8.1平台系统需采用B/S架构，用户浏览器端支持IE7.0及以上版本的主流浏览器；平台服务器端支持Windows Server 2012及以上操作系统；数据库端支持SQL server 2012及以上版本大型数据库。</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8.2系统要求基于教育部《学校管理信息标准》和相关GB数据标准设计,满足学校的基本数据规范和要求；要求平台所有业务系统共享基础数据信息，遵循相同的数据标准。系统负责教学实验室等相关基础信息和基础业务管理；实现实验室、实验用房、实验人员、实验室及实验人员信息统计、数据报表管理等功能。</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8.3业务数据查询要求：平台系统所有表单字段要求支持组合模糊查询、筛选式查询；支持每列依据数据查询需求可以按“开始于、包含、不包含、以…结束、等于、不等于”等多种方式进行精确或模糊检索；平台系统所有表单和报表，要求支持直接点击列名按正序、倒序排序、支持自由拖拽调整列的顺序；平台系统所有表单和报表要求支持导出包括xls、xlsx、csv、pdf、rtf等多种格式的文件；系统支持列表页面可以按需求勾选需要展示的显示列、并且可以对多列进行自动分组查询。</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8.4数据录入要求：系统数据录入要求支持按字段项的历史记忆功能快速录入内容相同的字段内容；支持克隆方式实现数据的快捷录入；系统各项审批业务操作支持用户流程自定义。可以灵活定义流程步骤、各步骤的审核角色等；用户操作界面灵活，满足个性化需求；用户界面友好，体验度高。支持用户创建功能快捷访问显示在系统首页。</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8.5跨系统信息整合要求：要求系统平台能够与我校数字化校园系统实现实时基础数据动态同步和共享，保证本平台与数字化校园系统的单位、教师、学生、课程、教学任务、理论课表等基础数据实时同步共享，保持无缝衔接。系统要求基于数字化校园基础信息标准的基础上，完成统一身份认证对接（LDAP/CAS等）、共享数据库集成等。</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8.6业务系统要求：基础配置管理模块（含基础数据管理、数据同步、用户角色权限管理、字典维护管理、系统参数维护等功能）；基础数据管理（提供对基础数据进行导入、数据同步、维护等管理工作）；用户角色权限管理（采用基于RBAC模型的权限管理，并加以扩展，能够根据部门角色进行权限控制）；参数维护（对平台运行的相关参数进行维护管理）；字典维护管理（维护平台内各种数据字典信息，包括通用字典、业务字典、用户字典等）；工作流管理（根据用户的需要，对平台中的各类业务流程进行调整和配置）；自定义表单（根据用户的需要，对平台中的部分业务的相关数据项的填写和现实进行调整和配置）。</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8.7实验室信息：分级列出全校实验室情况，同时实现维护实验室、实验分室详细资料功能；实现查看和打印实验室相关实验项目信息、实验人员信息、实验课程信息及实验仪器信息等功能。</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8.8实验用房：添加和管理各实验室的实验用房基础信息，建立学校实验室用房管理信息库。</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8.9实验人员：实验室专、兼职人员基本信息的管理，实现实验室人员基本信息的增、删、改操作，建立学校实验室人员基本信息库。</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8.10奖励成果管理：实现实验室发表论文、实验教材、奖励成果、发明专科、培训情况等以及学生获奖信息管理。</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8.11实验项目资源：管理实验室可供开出的所有实验项目信息的详细情况，可以维护实验项目所用到的仪器设备、耗材信息。支持标准EXCEL等格式导入导出。</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8.12数据报表：依据关联基础数据和业务系统数据，能自动生成教育部的七张数据报表（教学科研仪器设备表，教学科研仪器设备增减变动表，贵重仪器设备表，教学实验项目表，专职实验人员表，实验室基本情况表，实验室经费情况表，高等学校实验室综合信息表（一和二））。系统能够在线检测数据，提示有问题的数据并进行改正。系统支持近三年的上报数据对比分析。</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8.13依据关联基础数据和业务系统数据，能生成高等教育质量检测国家数据平台数据填报表中实验室和实验教学相关表格。</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8.14实验人员信息统计：实现实验室人员队伍建设情况统计，实时查看实验室队伍的人员信息构成情况。统计实验室人员的职称结构、学历结构、年龄结构等情况，人员结构分析统计可提供多种表格样式供选择使用。</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8.15实验室信息统计：可以按实验室类型、类别、单位等不能角度统计实验室的相关信息。如房间数、面积等。</w:t>
      </w:r>
    </w:p>
    <w:p>
      <w:pPr>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九、互动交流管理模块：支持学生、教师针对</w:t>
      </w:r>
      <w:r>
        <w:rPr>
          <w:rFonts w:cstheme="minorEastAsia"/>
          <w:sz w:val="18"/>
          <w:szCs w:val="18"/>
        </w:rPr>
        <w:t>虚拟</w:t>
      </w:r>
      <w:r>
        <w:rPr>
          <w:rStyle w:val="33"/>
          <w:rFonts w:hint="default" w:asciiTheme="minorEastAsia" w:hAnsiTheme="minorEastAsia" w:eastAsiaTheme="minorEastAsia"/>
          <w:sz w:val="21"/>
          <w:szCs w:val="21"/>
        </w:rPr>
        <w:t>实验项目进行在线留言交流、答疑。</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十、多媒体在线测试模块：包括：文字题、图片题、视频题库管理模块、考试规则管理模块、智能一键快速组卷、成绩自动批阅、成绩管理模块。</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十一、系统设置模块：包括：账号设置模块、成员设置模块、部门设置模块、实验室设置模块、班级设置模块、插件管理模块和在线技术支持模块。</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十二、需实现与学校现有的教务系统数据对接。</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十三、本平台与学校网上办事大厅数据的接口费用为人民币贰万元整，由中标方支付给江苏金智教育有限公司（学校网上办事大厅厂商），该接口费用含在本次投标报价中。</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★十四、本平台可以兼容第三方的虚拟仿真实验项目的接入，承诺永久免费提供完整的对外开放接口，免费完成与第三方虚拟仿真实验项目软件的数据对接与交换，同时提供在线技术支持。</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十五、质保期自验收合格之日起≥3年；质保期内免费提供系统维护、升级等技术支持服务，免费为用户提供培训及咨询服务；在质保期内发生系统故障时，免费提供全天候无间断的远程技术服务、需≤4小时内对问题做出响应、若无法远程解决的故障需≤3个工作日内到达现场进行解决；质保期后以最优惠价格仍提供系统维护、升级、维修等终身技术支持服务。</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十六、需要厂家提供“虚拟仿真实验教学综合管理平台”软件著作权证书。</w:t>
      </w:r>
    </w:p>
    <w:p>
      <w:pPr>
        <w:spacing w:line="300" w:lineRule="exact"/>
        <w:jc w:val="left"/>
        <w:rPr>
          <w:rStyle w:val="33"/>
          <w:rFonts w:hint="default" w:asciiTheme="minorEastAsia" w:hAnsiTheme="minorEastAsia" w:eastAsiaTheme="minorEastAsia"/>
          <w:sz w:val="21"/>
          <w:szCs w:val="21"/>
        </w:rPr>
      </w:pPr>
      <w:r>
        <w:rPr>
          <w:rStyle w:val="33"/>
          <w:rFonts w:hint="default" w:asciiTheme="minorEastAsia" w:hAnsiTheme="minorEastAsia" w:eastAsiaTheme="minorEastAsia"/>
          <w:sz w:val="21"/>
          <w:szCs w:val="21"/>
        </w:rPr>
        <w:t>十七、角色模块：包含系统管理员、教务管理员、学院管理员、实验室管理员、教师、学生。</w:t>
      </w:r>
    </w:p>
    <w:p>
      <w:pPr>
        <w:spacing w:line="300" w:lineRule="exact"/>
        <w:jc w:val="left"/>
        <w:rPr>
          <w:rFonts w:asciiTheme="minorEastAsia" w:hAnsiTheme="minorEastAsia" w:eastAsiaTheme="minorEastAsia"/>
          <w:szCs w:val="21"/>
        </w:rPr>
      </w:pPr>
      <w:r>
        <w:rPr>
          <w:rStyle w:val="33"/>
          <w:rFonts w:hint="default" w:asciiTheme="minorEastAsia" w:hAnsiTheme="minorEastAsia" w:eastAsiaTheme="minorEastAsia"/>
          <w:sz w:val="21"/>
          <w:szCs w:val="21"/>
        </w:rPr>
        <w:t>17.1</w:t>
      </w:r>
      <w:r>
        <w:rPr>
          <w:rFonts w:hint="eastAsia" w:asciiTheme="minorEastAsia" w:hAnsiTheme="minorEastAsia" w:eastAsiaTheme="minorEastAsia"/>
          <w:szCs w:val="21"/>
        </w:rPr>
        <w:t>系统管理员功能参数：</w:t>
      </w:r>
    </w:p>
    <w:tbl>
      <w:tblPr>
        <w:tblStyle w:val="11"/>
        <w:tblW w:w="80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9"/>
        <w:gridCol w:w="5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shd w:val="clear" w:color="auto" w:fill="BEBEBE"/>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功能参数</w:t>
            </w:r>
          </w:p>
        </w:tc>
        <w:tc>
          <w:tcPr>
            <w:tcW w:w="5707" w:type="dxa"/>
            <w:shd w:val="clear" w:color="auto" w:fill="BEBEBE"/>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功能要求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校级门户管理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栏目管理、轮播图管理、文章管理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栏目管理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中心门户站中栏目管理，除首页外其余栏目可自定义名称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轮播图管理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管理首页轮播图相关功能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文章管理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各个栏目的文章增删改查功能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院级门户管理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学院添加管理、栏目管理、轮播图管理、文章管理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实验室管理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楼栋管理、楼层管理、实验室管理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楼栋管理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管理实验大楼相关信息，可以增删改查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楼层管理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管理实验大楼的每个楼层信息，可以增删改查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实验室管理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管理实验大楼的每个楼层不同实验室信息，可以增删改查，关联实验相关设备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设备管理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添加实验室相关设备。包含设备的常用基础信息、及状态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实验室预约</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预约审批、审批结果查看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预约审批</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审批来自教师或者学生通过平台申请的实验室及相关设备的预约信息。（支持手机、PC双端同步审批）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审批结果查看</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所有审批的信息一览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班级管理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根据学院添加班级信息（支持学校统一认证接入）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角色管理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教师管理、学生管理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教师管理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添加教师账户信息（支持学校统一认证接入）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学生管理</w:t>
            </w:r>
          </w:p>
        </w:tc>
        <w:tc>
          <w:tcPr>
            <w:tcW w:w="5707"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添加学生账户信息（支持学校统一认证接入）</w:t>
            </w:r>
          </w:p>
        </w:tc>
      </w:tr>
    </w:tbl>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17.2教师功能参数：</w:t>
      </w:r>
    </w:p>
    <w:tbl>
      <w:tblPr>
        <w:tblStyle w:val="11"/>
        <w:tblW w:w="80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39"/>
        <w:gridCol w:w="5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2339" w:type="dxa"/>
            <w:shd w:val="clear" w:color="auto" w:fill="BEBEBE"/>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功能参数</w:t>
            </w:r>
          </w:p>
        </w:tc>
        <w:tc>
          <w:tcPr>
            <w:tcW w:w="5670" w:type="dxa"/>
            <w:shd w:val="clear" w:color="auto" w:fill="BEBEBE"/>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功能要求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首页统计</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包含教学任务、各班成绩分布、各班学习进度、班级总进度（支持手机在线查看）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教学日历</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课程管理、教学日历、开课设置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课程管理</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用于添加虚拟实验相关课程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教学日历</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用于查看和添加相关教学近况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开课设置</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设置虚拟实验开课内容，练习要求、考核时间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4"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教学资源</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根据课程添加教学文档包含PPT、Word、Excle、视频、图片、音频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6"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试卷系统</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试题管理、试卷设置、试卷设置管理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2"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试题管理</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可以增删改查题库，支持文字、图片、视频类型题目。（支持批量导入）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6"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试卷设置</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可以手动组卷、智能一键组卷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6"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试卷管理</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管理以往发布过的考试试卷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虚拟仿真实验</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虚拟仿真实验管理、实验入口、各班成绩分布统计、错误详情统计、各班学习时长统计、虚拟实验成绩统计、在线理论考试成绩统计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9"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虚拟仿真实验管理</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通过后台根据课程添加虚拟仿真实验，可以上传虚拟实验相关图片，填写名称，实验目的、实验原理、实验流程、实验考核要求信息。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1"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实验入口</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用于进入虚拟仿真实验（有防盗链机制）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1"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各班成绩分布统计</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统计每个班级的成绩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3"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错误详情统计</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虚拟实验的错误步骤统计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各班学习时长统计</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每个班级的学习虚拟实验时长统计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虚拟实验成绩统计</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每个虚拟实验的成绩统计，包含练习成绩和考试成绩。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在线理论考试成绩统计</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每个班级每个学生的理论考试成绩统计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实验报告在线批阅</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批阅学生提交的实验报告，并且评分，支持导出PDF、WORD打印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实验室预约</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预约实验室相关设备、预约结果查看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预约实验室相关设备</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通过后台在线上对线下实验室及设备进行预约。（需通过微信公众号，支持手机、PC双端同步预约）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预约结果查看</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对预约的结果查看和获取密钥地址。（需通过微信公众号，支持手机、PC双端同步预约）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留言板</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可在不同实验板块进行在线留言回复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公告发布</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发布推送短消息到班级内。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帐号设置</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修改密码基础信息</w:t>
            </w:r>
          </w:p>
        </w:tc>
      </w:tr>
    </w:tbl>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17.3学生功能参数：</w:t>
      </w:r>
    </w:p>
    <w:tbl>
      <w:tblPr>
        <w:tblStyle w:val="11"/>
        <w:tblW w:w="800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39"/>
        <w:gridCol w:w="56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5" w:hRule="atLeast"/>
        </w:trPr>
        <w:tc>
          <w:tcPr>
            <w:tcW w:w="2339" w:type="dxa"/>
            <w:shd w:val="clear" w:color="auto" w:fill="BEBEBE"/>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功能参数</w:t>
            </w:r>
          </w:p>
        </w:tc>
        <w:tc>
          <w:tcPr>
            <w:tcW w:w="5670" w:type="dxa"/>
            <w:shd w:val="clear" w:color="auto" w:fill="BEBEBE"/>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功能要求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8"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首页</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虚拟仿真实验、理论考试、成绩管理、实验室预约四个快捷入口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25"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我的学习任务</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虚拟实验入口、虚拟实验考试入口、在线考试入口、实验报告提交、学习任务各项数据统计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5"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虚拟实验入口</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用于进入虚拟仿真实验（有防盗链机制）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5"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虚拟实验考试入口</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用于进入虚拟仿真实验考试（有防盗链机制）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5"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在线考试入口</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用于进入老师发布的在线理论考试。（需在线登录）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实验报告提交</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根据不同的虚拟实验模块编写实验报告内容，提交实验报告至对应的开课老师。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3"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学习任务各项数据统计</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统计虚拟实验相关学习信息，如实验次数，练习成绩、考核成绩、，学习时长的相关信息统计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5"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我的成绩</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虚拟实验成绩统计、理论考试成绩统计、错误详情统计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5"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错误详情统计</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获取每一次的虚拟实验操作的错误步骤，并统计反馈。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5"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实验室预约</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预约实验室相关设备、预约结果查看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03"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预约实验室相关设备</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通过后台在线上对线下实验室及设备进行预约。（需通过微信公众号，支持手机、PC双端同步预约）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预约结果查看</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对预约的结果查看和获取密钥地址。（需通过微信公众号，支持手机、PC双端同步预约）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8"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留言板</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可在不同实验板块进行在线留言回复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8"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公告接受</w:t>
            </w:r>
          </w:p>
        </w:tc>
        <w:tc>
          <w:tcPr>
            <w:tcW w:w="567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接收来自开课老发布的通知公告。</w:t>
            </w:r>
          </w:p>
        </w:tc>
      </w:tr>
    </w:tbl>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17.4教务功能参数：</w:t>
      </w:r>
    </w:p>
    <w:tbl>
      <w:tblPr>
        <w:tblStyle w:val="11"/>
        <w:tblW w:w="804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39"/>
        <w:gridCol w:w="570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shd w:val="clear" w:color="auto" w:fill="BEBEBE"/>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功能参数</w:t>
            </w:r>
          </w:p>
        </w:tc>
        <w:tc>
          <w:tcPr>
            <w:tcW w:w="5706" w:type="dxa"/>
            <w:shd w:val="clear" w:color="auto" w:fill="BEBEBE"/>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功能要求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2"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首页数据统计</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虚拟仿真实验总数、虚拟实验总完成次数、虚拟实验使用总时长、虚拟平台总访问量、虚拟资源分布图、虚拟实验室热度、实验使用次数排行、实验使用时长排行、各院校实验查看（支持手机端、PC端双端查看）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虚拟仿真实验总数</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所有学院所有虚拟实验总数统计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虚拟实验总完成次数</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所有学院所有虚拟实验完成次数统计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虚拟实验使用总时长</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所有学院所有虚拟实验完成总时长统计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虚拟平台总访问量</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所有学院虚拟平台访问总量统计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虚拟资源分布图</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每个学院虚拟资源分布图表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虚拟实验热度</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所有学院中热度最高的虚拟实验使用占比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实验使用次数排行</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所有学院实验使用总次数排行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实验使用时长排行</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所有学院实验使用总时长排行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各院校实验查看</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每个学院的虚拟实验介绍查看和开课老师信息，实验入口（含防盗链机制）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教学日历</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查看每个学院的老师的近期虚拟仿真实验开课情况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7"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虚拟实验排行</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所有虚拟实验的中排行一览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10"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账号设置</w:t>
            </w:r>
          </w:p>
        </w:tc>
        <w:tc>
          <w:tcPr>
            <w:tcW w:w="5706"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基础的帐号信息修改如密码</w:t>
            </w:r>
          </w:p>
        </w:tc>
      </w:tr>
    </w:tbl>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17.5实验室管理员功能参数：</w:t>
      </w:r>
    </w:p>
    <w:tbl>
      <w:tblPr>
        <w:tblStyle w:val="11"/>
        <w:tblW w:w="805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39"/>
        <w:gridCol w:w="5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1" w:hRule="atLeast"/>
        </w:trPr>
        <w:tc>
          <w:tcPr>
            <w:tcW w:w="2339" w:type="dxa"/>
            <w:shd w:val="clear" w:color="auto" w:fill="BEBEBE"/>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功能参数</w:t>
            </w:r>
          </w:p>
        </w:tc>
        <w:tc>
          <w:tcPr>
            <w:tcW w:w="5720" w:type="dxa"/>
            <w:shd w:val="clear" w:color="auto" w:fill="BEBEBE"/>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功能要求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1"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实验室管理</w:t>
            </w:r>
          </w:p>
        </w:tc>
        <w:tc>
          <w:tcPr>
            <w:tcW w:w="572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楼栋管理、楼层管理、实验室管理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1"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楼栋管理</w:t>
            </w:r>
          </w:p>
        </w:tc>
        <w:tc>
          <w:tcPr>
            <w:tcW w:w="572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管理实验大楼相关信息，可以增删改查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1"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楼层管理</w:t>
            </w:r>
          </w:p>
        </w:tc>
        <w:tc>
          <w:tcPr>
            <w:tcW w:w="572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管理实验大楼的每个楼层信息，可以增删改查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4"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实验室管理</w:t>
            </w:r>
          </w:p>
        </w:tc>
        <w:tc>
          <w:tcPr>
            <w:tcW w:w="572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管理实验大楼的每个楼层不同实验室信息，可以增删改查，关联实验相关设备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1"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设备管理</w:t>
            </w:r>
          </w:p>
        </w:tc>
        <w:tc>
          <w:tcPr>
            <w:tcW w:w="572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添加实验室相关设备。包含设备的常用基础信息、及状态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1"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实验室预约</w:t>
            </w:r>
          </w:p>
        </w:tc>
        <w:tc>
          <w:tcPr>
            <w:tcW w:w="572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预约审批、审批结果查看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94"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预约审批</w:t>
            </w:r>
          </w:p>
        </w:tc>
        <w:tc>
          <w:tcPr>
            <w:tcW w:w="572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审批来自教师或者学生通过平台申请的实验室及相关设备的预约信息。（支持手机、PC双端同步审批）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91"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审批结果查看</w:t>
            </w:r>
          </w:p>
        </w:tc>
        <w:tc>
          <w:tcPr>
            <w:tcW w:w="572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所有审批的信息一览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04" w:hRule="atLeast"/>
        </w:trPr>
        <w:tc>
          <w:tcPr>
            <w:tcW w:w="2339"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账号设置</w:t>
            </w:r>
          </w:p>
        </w:tc>
        <w:tc>
          <w:tcPr>
            <w:tcW w:w="5720" w:type="dxa"/>
          </w:tcPr>
          <w:p>
            <w:pPr>
              <w:spacing w:line="300" w:lineRule="exact"/>
              <w:jc w:val="left"/>
              <w:rPr>
                <w:rFonts w:asciiTheme="minorEastAsia" w:hAnsiTheme="minorEastAsia" w:eastAsiaTheme="minorEastAsia"/>
                <w:szCs w:val="21"/>
              </w:rPr>
            </w:pPr>
            <w:r>
              <w:rPr>
                <w:rFonts w:hint="eastAsia" w:asciiTheme="minorEastAsia" w:hAnsiTheme="minorEastAsia" w:eastAsiaTheme="minorEastAsia"/>
                <w:szCs w:val="21"/>
              </w:rPr>
              <w:t>基础的帐号信息修改如密码</w:t>
            </w:r>
          </w:p>
        </w:tc>
      </w:tr>
    </w:tbl>
    <w:p>
      <w:pPr>
        <w:rPr>
          <w:rFonts w:asciiTheme="minorEastAsia" w:hAnsiTheme="minorEastAsia" w:eastAsiaTheme="minorEastAsia"/>
          <w:szCs w:val="21"/>
        </w:rPr>
      </w:pPr>
      <w:r>
        <w:rPr>
          <w:rStyle w:val="33"/>
          <w:rFonts w:hint="default" w:asciiTheme="minorEastAsia" w:hAnsiTheme="minorEastAsia" w:eastAsiaTheme="minorEastAsia"/>
          <w:sz w:val="21"/>
          <w:szCs w:val="21"/>
        </w:rPr>
        <w:t>十八、教学资源</w:t>
      </w:r>
      <w:r>
        <w:rPr>
          <w:rFonts w:hint="eastAsia" w:cs="宋体" w:asciiTheme="minorEastAsia" w:hAnsiTheme="minorEastAsia" w:eastAsiaTheme="minorEastAsia"/>
          <w:szCs w:val="21"/>
        </w:rPr>
        <w:t>招投标现场演示要求：</w:t>
      </w:r>
    </w:p>
    <w:p>
      <w:pPr>
        <w:rPr>
          <w:rFonts w:asciiTheme="minorEastAsia" w:hAnsiTheme="minorEastAsia" w:eastAsiaTheme="minorEastAsia"/>
          <w:szCs w:val="21"/>
        </w:rPr>
      </w:pPr>
      <w:r>
        <w:rPr>
          <w:rFonts w:hint="eastAsia" w:asciiTheme="minorEastAsia" w:hAnsiTheme="minorEastAsia" w:eastAsiaTheme="minorEastAsia"/>
          <w:szCs w:val="21"/>
        </w:rPr>
        <w:t>18.1</w:t>
      </w:r>
      <w:r>
        <w:rPr>
          <w:rStyle w:val="33"/>
          <w:rFonts w:hint="default" w:asciiTheme="minorEastAsia" w:hAnsiTheme="minorEastAsia" w:eastAsiaTheme="minorEastAsia"/>
          <w:sz w:val="21"/>
          <w:szCs w:val="21"/>
        </w:rPr>
        <w:t>中药鉴定虚拟仿真实验（其中含</w:t>
      </w:r>
      <w:r>
        <w:rPr>
          <w:rFonts w:hint="eastAsia" w:ascii="宋体" w:hAnsi="宋体" w:cs="宋体"/>
          <w:szCs w:val="21"/>
        </w:rPr>
        <w:t>中药饮片的识别≥400种</w:t>
      </w:r>
      <w:r>
        <w:rPr>
          <w:rStyle w:val="33"/>
          <w:rFonts w:hint="default" w:asciiTheme="minorEastAsia" w:hAnsiTheme="minorEastAsia" w:eastAsiaTheme="minorEastAsia"/>
          <w:sz w:val="21"/>
          <w:szCs w:val="21"/>
        </w:rPr>
        <w:t>）</w:t>
      </w:r>
    </w:p>
    <w:p>
      <w:pPr>
        <w:rPr>
          <w:rFonts w:asciiTheme="minorEastAsia" w:hAnsiTheme="minorEastAsia" w:eastAsiaTheme="minorEastAsia"/>
          <w:szCs w:val="21"/>
        </w:rPr>
      </w:pPr>
      <w:r>
        <w:rPr>
          <w:rFonts w:hint="eastAsia" w:asciiTheme="minorEastAsia" w:hAnsiTheme="minorEastAsia" w:eastAsiaTheme="minorEastAsia"/>
          <w:szCs w:val="21"/>
        </w:rPr>
        <w:t>18.2</w:t>
      </w:r>
      <w:r>
        <w:rPr>
          <w:rStyle w:val="33"/>
          <w:rFonts w:hint="default" w:asciiTheme="minorEastAsia" w:hAnsiTheme="minorEastAsia" w:eastAsiaTheme="minorEastAsia"/>
          <w:sz w:val="21"/>
          <w:szCs w:val="21"/>
        </w:rPr>
        <w:t>感冒药的用药指导虚拟仿真实验</w:t>
      </w:r>
    </w:p>
    <w:p>
      <w:pPr>
        <w:rPr>
          <w:rFonts w:ascii="宋体" w:hAnsi="宋体" w:cs="宋体"/>
          <w:szCs w:val="21"/>
        </w:rPr>
      </w:pPr>
      <w:r>
        <w:rPr>
          <w:rFonts w:hint="eastAsia" w:ascii="宋体" w:hAnsi="宋体" w:cs="宋体"/>
          <w:szCs w:val="21"/>
        </w:rPr>
        <w:t>18.3实验室安全虚拟演练资源模块</w:t>
      </w:r>
    </w:p>
    <w:p>
      <w:pPr>
        <w:rPr>
          <w:rFonts w:asciiTheme="minorEastAsia" w:hAnsiTheme="minorEastAsia" w:eastAsiaTheme="minorEastAsia"/>
          <w:szCs w:val="21"/>
        </w:rPr>
      </w:pPr>
      <w:r>
        <w:rPr>
          <w:rFonts w:hint="eastAsia" w:asciiTheme="minorEastAsia" w:hAnsiTheme="minorEastAsia" w:eastAsiaTheme="minorEastAsia"/>
          <w:szCs w:val="21"/>
        </w:rPr>
        <w:t>18.4</w:t>
      </w:r>
      <w:r>
        <w:rPr>
          <w:rStyle w:val="33"/>
          <w:rFonts w:hint="default" w:asciiTheme="minorEastAsia" w:hAnsiTheme="minorEastAsia" w:eastAsiaTheme="minorEastAsia"/>
          <w:sz w:val="21"/>
          <w:szCs w:val="21"/>
        </w:rPr>
        <w:t>虚拟仿真动画视频资源库（任选一种）</w:t>
      </w:r>
    </w:p>
    <w:p>
      <w:pPr>
        <w:rPr>
          <w:rFonts w:asciiTheme="minorEastAsia" w:hAnsiTheme="minorEastAsia" w:eastAsiaTheme="minorEastAsia"/>
          <w:szCs w:val="21"/>
        </w:rPr>
      </w:pPr>
      <w:r>
        <w:rPr>
          <w:rFonts w:hint="eastAsia" w:asciiTheme="minorEastAsia" w:hAnsiTheme="minorEastAsia" w:eastAsiaTheme="minorEastAsia"/>
          <w:szCs w:val="21"/>
        </w:rPr>
        <w:t xml:space="preserve">18.5 </w:t>
      </w:r>
      <w:r>
        <w:rPr>
          <w:rStyle w:val="33"/>
          <w:rFonts w:hint="default" w:asciiTheme="minorEastAsia" w:hAnsiTheme="minorEastAsia" w:eastAsiaTheme="minorEastAsia"/>
          <w:sz w:val="21"/>
          <w:szCs w:val="21"/>
        </w:rPr>
        <w:t>数字化教学资源管理模块（任选一种）</w:t>
      </w:r>
    </w:p>
    <w:p>
      <w:pPr>
        <w:rPr>
          <w:rFonts w:asciiTheme="minorEastAsia" w:hAnsiTheme="minorEastAsia" w:eastAsiaTheme="minorEastAsia"/>
          <w:szCs w:val="21"/>
        </w:rPr>
      </w:pPr>
    </w:p>
    <w:p>
      <w:pPr>
        <w:rPr>
          <w:rFonts w:asciiTheme="minorEastAsia" w:hAnsiTheme="minorEastAsia" w:eastAsiaTheme="minorEastAsia"/>
          <w:szCs w:val="21"/>
        </w:rPr>
      </w:pPr>
      <w:r>
        <w:rPr>
          <w:rFonts w:hint="eastAsia" w:asciiTheme="minorEastAsia" w:hAnsiTheme="minorEastAsia" w:eastAsiaTheme="minorEastAsia"/>
          <w:szCs w:val="21"/>
        </w:rPr>
        <w:t xml:space="preserve">                                                            </w:t>
      </w:r>
      <w:bookmarkStart w:id="0" w:name="_GoBack"/>
      <w:bookmarkEnd w:id="0"/>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55A9E8B"/>
    <w:multiLevelType w:val="singleLevel"/>
    <w:tmpl w:val="555A9E8B"/>
    <w:lvl w:ilvl="0" w:tentative="0">
      <w:start w:val="1"/>
      <w:numFmt w:val="decimal"/>
      <w:pStyle w:val="26"/>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0129"/>
    <w:rsid w:val="00032AC7"/>
    <w:rsid w:val="000A4F05"/>
    <w:rsid w:val="000C63D1"/>
    <w:rsid w:val="00103B85"/>
    <w:rsid w:val="001946DA"/>
    <w:rsid w:val="001F2DF0"/>
    <w:rsid w:val="002468C9"/>
    <w:rsid w:val="00281979"/>
    <w:rsid w:val="002C283F"/>
    <w:rsid w:val="002D1F75"/>
    <w:rsid w:val="002E022C"/>
    <w:rsid w:val="00304395"/>
    <w:rsid w:val="003A1DEB"/>
    <w:rsid w:val="00403801"/>
    <w:rsid w:val="00410AEB"/>
    <w:rsid w:val="0041746B"/>
    <w:rsid w:val="00454412"/>
    <w:rsid w:val="00457955"/>
    <w:rsid w:val="00566BCE"/>
    <w:rsid w:val="00580129"/>
    <w:rsid w:val="005C66B1"/>
    <w:rsid w:val="005E4943"/>
    <w:rsid w:val="006B014E"/>
    <w:rsid w:val="006C6087"/>
    <w:rsid w:val="00810AAB"/>
    <w:rsid w:val="008D4B3C"/>
    <w:rsid w:val="009325CE"/>
    <w:rsid w:val="009B3CAE"/>
    <w:rsid w:val="009E2738"/>
    <w:rsid w:val="009F0871"/>
    <w:rsid w:val="00A018D0"/>
    <w:rsid w:val="00A02488"/>
    <w:rsid w:val="00AB4B3B"/>
    <w:rsid w:val="00B1131F"/>
    <w:rsid w:val="00B62711"/>
    <w:rsid w:val="00BE5816"/>
    <w:rsid w:val="00C03FC3"/>
    <w:rsid w:val="00C05794"/>
    <w:rsid w:val="00CD09C3"/>
    <w:rsid w:val="00CD435C"/>
    <w:rsid w:val="00D254AA"/>
    <w:rsid w:val="00DF3288"/>
    <w:rsid w:val="00EE2538"/>
    <w:rsid w:val="00EE3B07"/>
    <w:rsid w:val="00F01AC4"/>
    <w:rsid w:val="00F84A89"/>
    <w:rsid w:val="06C55E9B"/>
    <w:rsid w:val="07112842"/>
    <w:rsid w:val="0DE833E1"/>
    <w:rsid w:val="11717817"/>
    <w:rsid w:val="16781054"/>
    <w:rsid w:val="1D870123"/>
    <w:rsid w:val="30225166"/>
    <w:rsid w:val="4BDD4F9E"/>
    <w:rsid w:val="55122A69"/>
    <w:rsid w:val="57F26832"/>
    <w:rsid w:val="65D1012B"/>
    <w:rsid w:val="6C491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9"/>
    <w:qFormat/>
    <w:uiPriority w:val="9"/>
    <w:pPr>
      <w:keepNext/>
      <w:keepLines/>
      <w:spacing w:before="340" w:after="330" w:line="578" w:lineRule="auto"/>
      <w:outlineLvl w:val="0"/>
    </w:pPr>
    <w:rPr>
      <w:rFonts w:asciiTheme="minorHAnsi" w:hAnsiTheme="minorHAnsi" w:eastAsiaTheme="minorEastAsia" w:cstheme="minorBidi"/>
      <w:b/>
      <w:bCs/>
      <w:kern w:val="44"/>
      <w:sz w:val="44"/>
      <w:szCs w:val="44"/>
    </w:rPr>
  </w:style>
  <w:style w:type="paragraph" w:styleId="3">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8"/>
    <w:semiHidden/>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9"/>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3">
    <w:name w:val="Default Paragraph Font"/>
    <w:semiHidden/>
    <w:unhideWhenUsed/>
    <w:uiPriority w:val="1"/>
  </w:style>
  <w:style w:type="table" w:default="1" w:styleId="11">
    <w:name w:val="Normal Table"/>
    <w:semiHidden/>
    <w:unhideWhenUsed/>
    <w:uiPriority w:val="99"/>
    <w:tblPr>
      <w:tblLayout w:type="fixed"/>
      <w:tblCellMar>
        <w:top w:w="0" w:type="dxa"/>
        <w:left w:w="108" w:type="dxa"/>
        <w:bottom w:w="0" w:type="dxa"/>
        <w:right w:w="108" w:type="dxa"/>
      </w:tblCellMar>
    </w:tblPr>
  </w:style>
  <w:style w:type="paragraph" w:styleId="6">
    <w:name w:val="Body Text Indent"/>
    <w:basedOn w:val="1"/>
    <w:qFormat/>
    <w:uiPriority w:val="0"/>
    <w:pPr>
      <w:spacing w:after="120"/>
      <w:ind w:left="420" w:leftChars="200"/>
    </w:pPr>
    <w:rPr>
      <w:lang w:val="zh-CN"/>
    </w:rPr>
  </w:style>
  <w:style w:type="paragraph" w:styleId="7">
    <w:name w:val="footer"/>
    <w:basedOn w:val="1"/>
    <w:link w:val="15"/>
    <w:semiHidden/>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uiPriority w:val="99"/>
    <w:pPr>
      <w:spacing w:before="100" w:beforeAutospacing="1" w:after="100" w:afterAutospacing="1"/>
    </w:pPr>
  </w:style>
  <w:style w:type="paragraph" w:styleId="10">
    <w:name w:val="Title"/>
    <w:basedOn w:val="1"/>
    <w:next w:val="1"/>
    <w:link w:val="30"/>
    <w:qFormat/>
    <w:uiPriority w:val="10"/>
    <w:pPr>
      <w:spacing w:before="240" w:after="60"/>
      <w:jc w:val="center"/>
      <w:outlineLvl w:val="0"/>
    </w:pPr>
    <w:rPr>
      <w:rFonts w:asciiTheme="majorHAnsi" w:hAnsiTheme="majorHAnsi" w:eastAsiaTheme="majorEastAsia" w:cstheme="majorBidi"/>
      <w:b/>
      <w:bCs/>
      <w:sz w:val="32"/>
      <w:szCs w:val="32"/>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4">
    <w:name w:val="页眉 字符"/>
    <w:basedOn w:val="13"/>
    <w:link w:val="8"/>
    <w:semiHidden/>
    <w:qFormat/>
    <w:uiPriority w:val="99"/>
    <w:rPr>
      <w:rFonts w:ascii="Times New Roman" w:hAnsi="Times New Roman" w:eastAsia="宋体" w:cs="Times New Roman"/>
      <w:sz w:val="18"/>
      <w:szCs w:val="18"/>
    </w:rPr>
  </w:style>
  <w:style w:type="character" w:customStyle="1" w:styleId="15">
    <w:name w:val="页脚 字符"/>
    <w:basedOn w:val="13"/>
    <w:link w:val="7"/>
    <w:semiHidden/>
    <w:qFormat/>
    <w:uiPriority w:val="99"/>
    <w:rPr>
      <w:rFonts w:ascii="Times New Roman" w:hAnsi="Times New Roman" w:eastAsia="宋体" w:cs="Times New Roman"/>
      <w:sz w:val="18"/>
      <w:szCs w:val="18"/>
    </w:rPr>
  </w:style>
  <w:style w:type="paragraph" w:customStyle="1" w:styleId="16">
    <w:name w:val="Default"/>
    <w:qFormat/>
    <w:uiPriority w:val="0"/>
    <w:pPr>
      <w:widowControl w:val="0"/>
      <w:autoSpaceDE w:val="0"/>
      <w:autoSpaceDN w:val="0"/>
      <w:adjustRightInd w:val="0"/>
    </w:pPr>
    <w:rPr>
      <w:rFonts w:ascii="宋体" w:hAnsi="Calibri" w:eastAsia="宋体" w:cs="宋体"/>
      <w:color w:val="000000"/>
      <w:kern w:val="0"/>
      <w:sz w:val="24"/>
      <w:szCs w:val="24"/>
      <w:lang w:val="en-US" w:eastAsia="zh-CN" w:bidi="ar-SA"/>
    </w:rPr>
  </w:style>
  <w:style w:type="character" w:customStyle="1" w:styleId="17">
    <w:name w:val="列出段落 字符"/>
    <w:link w:val="18"/>
    <w:qFormat/>
    <w:uiPriority w:val="0"/>
    <w:rPr>
      <w:rFonts w:ascii="Calibri" w:hAnsi="Calibri"/>
    </w:rPr>
  </w:style>
  <w:style w:type="paragraph" w:styleId="18">
    <w:name w:val="List Paragraph"/>
    <w:basedOn w:val="1"/>
    <w:link w:val="17"/>
    <w:qFormat/>
    <w:uiPriority w:val="34"/>
    <w:pPr>
      <w:ind w:firstLine="420" w:firstLineChars="200"/>
    </w:pPr>
    <w:rPr>
      <w:rFonts w:ascii="Calibri" w:hAnsi="Calibri" w:eastAsiaTheme="minorEastAsia" w:cstheme="minorBidi"/>
      <w:szCs w:val="22"/>
    </w:rPr>
  </w:style>
  <w:style w:type="character" w:customStyle="1" w:styleId="19">
    <w:name w:val="标题 1 字符"/>
    <w:basedOn w:val="13"/>
    <w:link w:val="2"/>
    <w:qFormat/>
    <w:uiPriority w:val="9"/>
    <w:rPr>
      <w:b/>
      <w:bCs/>
      <w:kern w:val="44"/>
      <w:sz w:val="44"/>
      <w:szCs w:val="44"/>
    </w:rPr>
  </w:style>
  <w:style w:type="character" w:customStyle="1" w:styleId="20">
    <w:name w:val="标题 2 字符"/>
    <w:basedOn w:val="13"/>
    <w:link w:val="3"/>
    <w:qFormat/>
    <w:uiPriority w:val="9"/>
    <w:rPr>
      <w:rFonts w:asciiTheme="majorHAnsi" w:hAnsiTheme="majorHAnsi" w:eastAsiaTheme="majorEastAsia" w:cstheme="majorBidi"/>
      <w:b/>
      <w:bCs/>
      <w:sz w:val="32"/>
      <w:szCs w:val="32"/>
    </w:rPr>
  </w:style>
  <w:style w:type="paragraph" w:customStyle="1" w:styleId="21">
    <w:name w:val="列出段落1"/>
    <w:basedOn w:val="1"/>
    <w:qFormat/>
    <w:uiPriority w:val="34"/>
    <w:pPr>
      <w:ind w:firstLine="420" w:firstLineChars="200"/>
    </w:pPr>
    <w:rPr>
      <w:rFonts w:asciiTheme="minorHAnsi" w:hAnsiTheme="minorHAnsi" w:eastAsiaTheme="minorEastAsia" w:cstheme="minorBidi"/>
      <w:szCs w:val="22"/>
    </w:rPr>
  </w:style>
  <w:style w:type="paragraph" w:customStyle="1" w:styleId="22">
    <w:name w:val="paragraph1"/>
    <w:basedOn w:val="1"/>
    <w:link w:val="23"/>
    <w:qFormat/>
    <w:uiPriority w:val="0"/>
    <w:pPr>
      <w:spacing w:afterLines="30" w:line="360" w:lineRule="auto"/>
      <w:ind w:firstLine="480" w:firstLineChars="200"/>
    </w:pPr>
    <w:rPr>
      <w:sz w:val="24"/>
    </w:rPr>
  </w:style>
  <w:style w:type="character" w:customStyle="1" w:styleId="23">
    <w:name w:val="paragraph1 Char"/>
    <w:link w:val="22"/>
    <w:uiPriority w:val="0"/>
    <w:rPr>
      <w:rFonts w:ascii="Times New Roman" w:hAnsi="Times New Roman" w:eastAsia="宋体" w:cs="Times New Roman"/>
      <w:sz w:val="24"/>
      <w:szCs w:val="24"/>
    </w:rPr>
  </w:style>
  <w:style w:type="paragraph" w:customStyle="1" w:styleId="24">
    <w:name w:val="正文模式"/>
    <w:basedOn w:val="1"/>
    <w:qFormat/>
    <w:uiPriority w:val="0"/>
    <w:pPr>
      <w:spacing w:line="360" w:lineRule="auto"/>
      <w:ind w:firstLine="480" w:firstLineChars="200"/>
    </w:pPr>
    <w:rPr>
      <w:rFonts w:cs="宋体"/>
      <w:sz w:val="24"/>
      <w:szCs w:val="20"/>
    </w:rPr>
  </w:style>
  <w:style w:type="paragraph" w:customStyle="1" w:styleId="25">
    <w:name w:val="列表段落1"/>
    <w:basedOn w:val="1"/>
    <w:unhideWhenUsed/>
    <w:qFormat/>
    <w:uiPriority w:val="99"/>
    <w:pPr>
      <w:ind w:firstLine="420" w:firstLineChars="200"/>
    </w:pPr>
    <w:rPr>
      <w:rFonts w:asciiTheme="minorHAnsi" w:hAnsiTheme="minorHAnsi" w:eastAsiaTheme="minorEastAsia" w:cstheme="minorBidi"/>
    </w:rPr>
  </w:style>
  <w:style w:type="paragraph" w:customStyle="1" w:styleId="26">
    <w:name w:val="样式1"/>
    <w:basedOn w:val="1"/>
    <w:qFormat/>
    <w:uiPriority w:val="0"/>
    <w:pPr>
      <w:numPr>
        <w:ilvl w:val="0"/>
        <w:numId w:val="1"/>
      </w:numPr>
      <w:tabs>
        <w:tab w:val="left" w:pos="709"/>
      </w:tabs>
    </w:pPr>
    <w:rPr>
      <w:rFonts w:ascii="宋体" w:hAnsi="宋体"/>
      <w:szCs w:val="21"/>
    </w:rPr>
  </w:style>
  <w:style w:type="paragraph" w:customStyle="1" w:styleId="27">
    <w:name w:val="正文字缩2字"/>
    <w:basedOn w:val="1"/>
    <w:qFormat/>
    <w:uiPriority w:val="0"/>
    <w:pPr>
      <w:spacing w:before="60" w:after="60" w:line="360" w:lineRule="auto"/>
      <w:ind w:left="200" w:leftChars="200" w:firstLine="200" w:firstLineChars="200"/>
    </w:pPr>
    <w:rPr>
      <w:sz w:val="24"/>
    </w:rPr>
  </w:style>
  <w:style w:type="character" w:customStyle="1" w:styleId="28">
    <w:name w:val="标题 3 字符"/>
    <w:basedOn w:val="13"/>
    <w:link w:val="4"/>
    <w:semiHidden/>
    <w:qFormat/>
    <w:uiPriority w:val="9"/>
    <w:rPr>
      <w:rFonts w:ascii="Times New Roman" w:hAnsi="Times New Roman" w:eastAsia="宋体" w:cs="Times New Roman"/>
      <w:b/>
      <w:bCs/>
      <w:sz w:val="32"/>
      <w:szCs w:val="32"/>
    </w:rPr>
  </w:style>
  <w:style w:type="character" w:customStyle="1" w:styleId="29">
    <w:name w:val="标题 4 字符"/>
    <w:basedOn w:val="13"/>
    <w:link w:val="5"/>
    <w:semiHidden/>
    <w:qFormat/>
    <w:uiPriority w:val="9"/>
    <w:rPr>
      <w:rFonts w:asciiTheme="majorHAnsi" w:hAnsiTheme="majorHAnsi" w:eastAsiaTheme="majorEastAsia" w:cstheme="majorBidi"/>
      <w:b/>
      <w:bCs/>
      <w:sz w:val="28"/>
      <w:szCs w:val="28"/>
    </w:rPr>
  </w:style>
  <w:style w:type="character" w:customStyle="1" w:styleId="30">
    <w:name w:val="标题 字符"/>
    <w:basedOn w:val="13"/>
    <w:link w:val="10"/>
    <w:qFormat/>
    <w:uiPriority w:val="10"/>
    <w:rPr>
      <w:rFonts w:asciiTheme="majorHAnsi" w:hAnsiTheme="majorHAnsi" w:eastAsiaTheme="majorEastAsia" w:cstheme="majorBidi"/>
      <w:b/>
      <w:bCs/>
      <w:sz w:val="32"/>
      <w:szCs w:val="32"/>
    </w:rPr>
  </w:style>
  <w:style w:type="paragraph" w:customStyle="1" w:styleId="31">
    <w:name w:val="FC正文"/>
    <w:basedOn w:val="1"/>
    <w:qFormat/>
    <w:uiPriority w:val="0"/>
    <w:pPr>
      <w:adjustRightInd w:val="0"/>
      <w:snapToGrid w:val="0"/>
      <w:spacing w:line="360" w:lineRule="auto"/>
      <w:ind w:firstLine="200" w:firstLineChars="200"/>
    </w:pPr>
    <w:rPr>
      <w:rFonts w:ascii="Calibri" w:hAnsi="Calibri"/>
      <w:szCs w:val="20"/>
    </w:rPr>
  </w:style>
  <w:style w:type="paragraph" w:customStyle="1" w:styleId="32">
    <w:name w:val="正文_62"/>
    <w:qFormat/>
    <w:uiPriority w:val="0"/>
    <w:pPr>
      <w:widowControl w:val="0"/>
      <w:spacing w:line="360" w:lineRule="auto"/>
      <w:jc w:val="both"/>
    </w:pPr>
    <w:rPr>
      <w:rFonts w:ascii="Times New Roman" w:hAnsi="Times New Roman" w:eastAsia="宋体" w:cs="Times New Roman"/>
      <w:kern w:val="2"/>
      <w:sz w:val="21"/>
      <w:lang w:val="en-US" w:eastAsia="zh-CN" w:bidi="ar-SA"/>
    </w:rPr>
  </w:style>
  <w:style w:type="character" w:customStyle="1" w:styleId="33">
    <w:name w:val="font51"/>
    <w:basedOn w:val="13"/>
    <w:qFormat/>
    <w:uiPriority w:val="0"/>
    <w:rPr>
      <w:rFonts w:hint="eastAsia" w:ascii="宋体" w:hAnsi="宋体" w:eastAsia="宋体" w:cs="宋体"/>
      <w:color w:val="000000"/>
      <w:sz w:val="14"/>
      <w:szCs w:val="14"/>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27</Pages>
  <Words>2286</Words>
  <Characters>13032</Characters>
  <Lines>108</Lines>
  <Paragraphs>30</Paragraphs>
  <TotalTime>0</TotalTime>
  <ScaleCrop>false</ScaleCrop>
  <LinksUpToDate>false</LinksUpToDate>
  <CharactersWithSpaces>15288</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2015-07-06T02:02:00Z</dcterms:created>
  <dc:creator>郑怀宇</dc:creator>
  <cp:lastModifiedBy>不哭</cp:lastModifiedBy>
  <dcterms:modified xsi:type="dcterms:W3CDTF">2019-09-02T09:01:53Z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