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福  建  中  医  药  大  学</w:t>
      </w:r>
    </w:p>
    <w:p>
      <w:pPr>
        <w:jc w:val="center"/>
        <w:rPr>
          <w:b/>
          <w:sz w:val="32"/>
          <w:szCs w:val="32"/>
        </w:rPr>
      </w:pPr>
      <w:r>
        <w:rPr>
          <w:rFonts w:hint="eastAsia"/>
          <w:b/>
          <w:sz w:val="32"/>
          <w:szCs w:val="32"/>
        </w:rPr>
        <w:t>软  件  采  购  询  价  工  作  单</w:t>
      </w:r>
    </w:p>
    <w:p>
      <w:pPr>
        <w:ind w:firstLine="700" w:firstLineChars="250"/>
        <w:rPr>
          <w:rFonts w:ascii="宋体" w:hAnsi="宋体"/>
          <w:sz w:val="28"/>
          <w:szCs w:val="28"/>
        </w:rPr>
      </w:pPr>
      <w:r>
        <w:rPr>
          <w:rFonts w:hint="eastAsia" w:ascii="宋体" w:hAnsi="宋体"/>
          <w:sz w:val="28"/>
          <w:szCs w:val="28"/>
        </w:rPr>
        <w:t>公司名称（盖章）：</w:t>
      </w:r>
    </w:p>
    <w:tbl>
      <w:tblPr>
        <w:tblStyle w:val="12"/>
        <w:tblW w:w="11713"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
        <w:gridCol w:w="3001"/>
        <w:gridCol w:w="1863"/>
        <w:gridCol w:w="763"/>
        <w:gridCol w:w="2010"/>
        <w:gridCol w:w="3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6" w:type="dxa"/>
            <w:vAlign w:val="center"/>
          </w:tcPr>
          <w:p>
            <w:pPr>
              <w:jc w:val="center"/>
              <w:rPr>
                <w:rFonts w:ascii="宋体" w:hAnsi="宋体"/>
                <w:sz w:val="24"/>
              </w:rPr>
            </w:pPr>
            <w:r>
              <w:rPr>
                <w:rFonts w:hint="eastAsia" w:ascii="宋体" w:hAnsi="宋体"/>
                <w:sz w:val="24"/>
              </w:rPr>
              <w:t>序号</w:t>
            </w:r>
          </w:p>
        </w:tc>
        <w:tc>
          <w:tcPr>
            <w:tcW w:w="3001" w:type="dxa"/>
            <w:vAlign w:val="center"/>
          </w:tcPr>
          <w:p>
            <w:pPr>
              <w:jc w:val="center"/>
              <w:rPr>
                <w:rFonts w:ascii="宋体" w:hAnsi="宋体"/>
                <w:sz w:val="24"/>
              </w:rPr>
            </w:pPr>
            <w:r>
              <w:rPr>
                <w:rFonts w:hint="eastAsia" w:ascii="宋体" w:hAnsi="宋体"/>
                <w:sz w:val="24"/>
              </w:rPr>
              <w:t>软件或服务名称</w:t>
            </w:r>
          </w:p>
        </w:tc>
        <w:tc>
          <w:tcPr>
            <w:tcW w:w="1863" w:type="dxa"/>
            <w:vAlign w:val="center"/>
          </w:tcPr>
          <w:p>
            <w:pPr>
              <w:jc w:val="center"/>
              <w:rPr>
                <w:rFonts w:ascii="宋体" w:hAnsi="宋体"/>
                <w:sz w:val="24"/>
              </w:rPr>
            </w:pPr>
            <w:r>
              <w:rPr>
                <w:rFonts w:hint="eastAsia" w:ascii="宋体" w:hAnsi="宋体"/>
                <w:sz w:val="24"/>
              </w:rPr>
              <w:t>参考型号</w:t>
            </w:r>
          </w:p>
        </w:tc>
        <w:tc>
          <w:tcPr>
            <w:tcW w:w="763" w:type="dxa"/>
            <w:vAlign w:val="center"/>
          </w:tcPr>
          <w:p>
            <w:pPr>
              <w:jc w:val="center"/>
              <w:rPr>
                <w:rFonts w:ascii="宋体" w:hAnsi="宋体"/>
                <w:sz w:val="24"/>
              </w:rPr>
            </w:pPr>
            <w:r>
              <w:rPr>
                <w:rFonts w:hint="eastAsia" w:ascii="宋体" w:hAnsi="宋体"/>
                <w:sz w:val="24"/>
              </w:rPr>
              <w:t>数量</w:t>
            </w:r>
          </w:p>
        </w:tc>
        <w:tc>
          <w:tcPr>
            <w:tcW w:w="2010" w:type="dxa"/>
            <w:vAlign w:val="center"/>
          </w:tcPr>
          <w:p>
            <w:pPr>
              <w:jc w:val="center"/>
              <w:rPr>
                <w:rFonts w:ascii="宋体" w:hAnsi="宋体"/>
                <w:sz w:val="24"/>
              </w:rPr>
            </w:pPr>
            <w:r>
              <w:rPr>
                <w:rFonts w:hint="eastAsia" w:ascii="宋体" w:hAnsi="宋体"/>
                <w:sz w:val="24"/>
              </w:rPr>
              <w:t>价格</w:t>
            </w:r>
          </w:p>
          <w:p>
            <w:pPr>
              <w:jc w:val="center"/>
              <w:rPr>
                <w:rFonts w:ascii="宋体" w:hAnsi="宋体"/>
                <w:sz w:val="24"/>
              </w:rPr>
            </w:pPr>
            <w:r>
              <w:rPr>
                <w:rFonts w:hint="eastAsia" w:ascii="宋体" w:hAnsi="宋体"/>
                <w:sz w:val="24"/>
              </w:rPr>
              <w:t>（万元）</w:t>
            </w:r>
          </w:p>
        </w:tc>
        <w:tc>
          <w:tcPr>
            <w:tcW w:w="3510" w:type="dxa"/>
            <w:vAlign w:val="center"/>
          </w:tcPr>
          <w:p>
            <w:pPr>
              <w:jc w:val="center"/>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566" w:type="dxa"/>
            <w:shd w:val="clear" w:color="auto" w:fill="auto"/>
            <w:vAlign w:val="center"/>
          </w:tcPr>
          <w:p>
            <w:pPr>
              <w:jc w:val="center"/>
              <w:rPr>
                <w:rFonts w:ascii="宋体" w:hAnsi="宋体"/>
                <w:szCs w:val="21"/>
              </w:rPr>
            </w:pPr>
            <w:r>
              <w:rPr>
                <w:rFonts w:hint="eastAsia" w:ascii="宋体" w:hAnsi="宋体"/>
                <w:szCs w:val="21"/>
              </w:rPr>
              <w:t>1</w:t>
            </w:r>
          </w:p>
        </w:tc>
        <w:tc>
          <w:tcPr>
            <w:tcW w:w="3001" w:type="dxa"/>
            <w:shd w:val="clear" w:color="FFFF00" w:fill="auto"/>
            <w:vAlign w:val="center"/>
          </w:tcPr>
          <w:p>
            <w:pPr>
              <w:jc w:val="center"/>
              <w:rPr>
                <w:rFonts w:ascii="宋体" w:hAnsi="宋体"/>
              </w:rPr>
            </w:pPr>
          </w:p>
        </w:tc>
        <w:tc>
          <w:tcPr>
            <w:tcW w:w="1863" w:type="dxa"/>
            <w:shd w:val="clear" w:color="FFFF00" w:fill="auto"/>
            <w:vAlign w:val="center"/>
          </w:tcPr>
          <w:p>
            <w:pPr>
              <w:autoSpaceDN w:val="0"/>
              <w:jc w:val="center"/>
              <w:textAlignment w:val="center"/>
              <w:rPr>
                <w:rFonts w:ascii="宋体" w:hAnsi="宋体"/>
                <w:sz w:val="24"/>
              </w:rPr>
            </w:pPr>
          </w:p>
        </w:tc>
        <w:tc>
          <w:tcPr>
            <w:tcW w:w="763" w:type="dxa"/>
            <w:shd w:val="clear" w:color="FFFF00" w:fill="auto"/>
            <w:vAlign w:val="center"/>
          </w:tcPr>
          <w:p>
            <w:pPr>
              <w:jc w:val="center"/>
              <w:rPr>
                <w:rFonts w:ascii="宋体" w:hAnsi="宋体"/>
                <w:szCs w:val="21"/>
              </w:rPr>
            </w:pPr>
          </w:p>
        </w:tc>
        <w:tc>
          <w:tcPr>
            <w:tcW w:w="2010" w:type="dxa"/>
            <w:vAlign w:val="center"/>
          </w:tcPr>
          <w:p>
            <w:pPr>
              <w:jc w:val="center"/>
              <w:rPr>
                <w:rFonts w:ascii="宋体" w:hAnsi="宋体"/>
                <w:sz w:val="24"/>
              </w:rPr>
            </w:pPr>
          </w:p>
        </w:tc>
        <w:tc>
          <w:tcPr>
            <w:tcW w:w="3510" w:type="dxa"/>
            <w:vAlign w:val="center"/>
          </w:tcPr>
          <w:p>
            <w:pPr>
              <w:jc w:val="center"/>
              <w:rPr>
                <w:rFonts w:ascii="宋体" w:hAnsi="宋体"/>
                <w:sz w:val="24"/>
              </w:rPr>
            </w:pPr>
            <w:r>
              <w:rPr>
                <w:rFonts w:hint="eastAsia" w:ascii="宋体" w:hAnsi="宋体"/>
                <w:sz w:val="24"/>
              </w:rPr>
              <w:t>功能需求详见附件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193" w:type="dxa"/>
            <w:gridSpan w:val="4"/>
            <w:vAlign w:val="center"/>
          </w:tcPr>
          <w:p>
            <w:pPr>
              <w:jc w:val="center"/>
              <w:rPr>
                <w:rFonts w:ascii="宋体" w:hAnsi="宋体"/>
                <w:sz w:val="24"/>
              </w:rPr>
            </w:pPr>
            <w:r>
              <w:rPr>
                <w:rFonts w:hint="eastAsia" w:ascii="宋体" w:hAnsi="宋体"/>
                <w:sz w:val="24"/>
              </w:rPr>
              <w:t>合  计</w:t>
            </w:r>
          </w:p>
        </w:tc>
        <w:tc>
          <w:tcPr>
            <w:tcW w:w="2010" w:type="dxa"/>
            <w:vAlign w:val="center"/>
          </w:tcPr>
          <w:p>
            <w:pPr>
              <w:jc w:val="center"/>
              <w:rPr>
                <w:rFonts w:ascii="宋体" w:hAnsi="宋体"/>
                <w:sz w:val="24"/>
              </w:rPr>
            </w:pPr>
          </w:p>
        </w:tc>
        <w:tc>
          <w:tcPr>
            <w:tcW w:w="3510" w:type="dxa"/>
            <w:vAlign w:val="center"/>
          </w:tcPr>
          <w:p>
            <w:pPr>
              <w:jc w:val="center"/>
              <w:rPr>
                <w:rFonts w:ascii="宋体" w:hAnsi="宋体"/>
                <w:sz w:val="24"/>
              </w:rPr>
            </w:pPr>
          </w:p>
        </w:tc>
      </w:tr>
    </w:tbl>
    <w:p>
      <w:pPr>
        <w:rPr>
          <w:rFonts w:ascii="宋体" w:hAnsi="宋体"/>
          <w:sz w:val="28"/>
          <w:szCs w:val="28"/>
        </w:rPr>
      </w:pPr>
      <w:r>
        <w:rPr>
          <w:rFonts w:hint="eastAsia" w:ascii="宋体" w:hAnsi="宋体"/>
          <w:sz w:val="28"/>
          <w:szCs w:val="28"/>
        </w:rPr>
        <w:t xml:space="preserve">         联系人：                                    联系电话：</w:t>
      </w:r>
    </w:p>
    <w:p>
      <w:pPr>
        <w:spacing w:line="400" w:lineRule="exact"/>
        <w:rPr>
          <w:rFonts w:ascii="宋体" w:hAnsi="宋体"/>
          <w:sz w:val="24"/>
        </w:rPr>
      </w:pPr>
      <w:r>
        <w:rPr>
          <w:rFonts w:hint="eastAsia" w:ascii="宋体" w:hAnsi="宋体"/>
          <w:sz w:val="24"/>
        </w:rPr>
        <w:t>1、询价会报名截止时间为</w:t>
      </w:r>
      <w:r>
        <w:rPr>
          <w:rFonts w:ascii="宋体" w:hAnsi="宋体"/>
          <w:sz w:val="24"/>
        </w:rPr>
        <w:t>20</w:t>
      </w:r>
      <w:r>
        <w:rPr>
          <w:rFonts w:hint="eastAsia" w:ascii="宋体" w:hAnsi="宋体"/>
          <w:sz w:val="24"/>
          <w:lang w:val="en-US" w:eastAsia="zh-CN"/>
        </w:rPr>
        <w:t>21</w:t>
      </w:r>
      <w:r>
        <w:rPr>
          <w:rFonts w:ascii="宋体" w:hAnsi="宋体"/>
          <w:sz w:val="24"/>
        </w:rPr>
        <w:t>年</w:t>
      </w:r>
      <w:r>
        <w:rPr>
          <w:rFonts w:hint="eastAsia" w:ascii="宋体" w:hAnsi="宋体"/>
          <w:sz w:val="24"/>
          <w:lang w:val="en-US" w:eastAsia="zh-CN"/>
        </w:rPr>
        <w:t>12</w:t>
      </w:r>
      <w:r>
        <w:rPr>
          <w:rFonts w:ascii="宋体" w:hAnsi="宋体"/>
          <w:sz w:val="24"/>
        </w:rPr>
        <w:t>月</w:t>
      </w:r>
      <w:r>
        <w:rPr>
          <w:rFonts w:hint="eastAsia" w:ascii="宋体" w:hAnsi="宋体"/>
          <w:sz w:val="24"/>
          <w:lang w:val="en-US" w:eastAsia="zh-CN"/>
        </w:rPr>
        <w:t>17</w:t>
      </w:r>
      <w:r>
        <w:rPr>
          <w:rFonts w:ascii="宋体" w:hAnsi="宋体"/>
          <w:sz w:val="24"/>
        </w:rPr>
        <w:t>日</w:t>
      </w:r>
      <w:r>
        <w:rPr>
          <w:rFonts w:hint="eastAsia" w:ascii="宋体" w:hAnsi="宋体"/>
          <w:sz w:val="24"/>
        </w:rPr>
        <w:t xml:space="preserve"> 。</w:t>
      </w:r>
    </w:p>
    <w:p>
      <w:pPr>
        <w:spacing w:line="400" w:lineRule="exact"/>
        <w:rPr>
          <w:rFonts w:ascii="宋体" w:hAnsi="宋体"/>
          <w:sz w:val="24"/>
        </w:rPr>
      </w:pPr>
      <w:r>
        <w:rPr>
          <w:rFonts w:hint="eastAsia" w:ascii="宋体" w:hAnsi="宋体"/>
          <w:sz w:val="24"/>
        </w:rPr>
        <w:t>2、拟参与询价公司要完成技术偏离表及供货时间。</w:t>
      </w:r>
    </w:p>
    <w:p>
      <w:pPr>
        <w:spacing w:line="400" w:lineRule="exact"/>
        <w:rPr>
          <w:rFonts w:ascii="宋体" w:hAnsi="宋体"/>
          <w:sz w:val="24"/>
        </w:rPr>
      </w:pPr>
      <w:r>
        <w:rPr>
          <w:rFonts w:hint="eastAsia" w:ascii="宋体" w:hAnsi="宋体"/>
          <w:sz w:val="24"/>
        </w:rPr>
        <w:t>3、报价均为福州现场交货人民币价。</w:t>
      </w:r>
    </w:p>
    <w:p>
      <w:pPr>
        <w:spacing w:line="400" w:lineRule="exact"/>
        <w:rPr>
          <w:rFonts w:ascii="宋体" w:hAnsi="宋体"/>
          <w:sz w:val="24"/>
        </w:rPr>
      </w:pPr>
      <w:r>
        <w:rPr>
          <w:rFonts w:hint="eastAsia" w:ascii="宋体" w:hAnsi="宋体"/>
          <w:sz w:val="24"/>
        </w:rPr>
        <w:t>4、报价的产品应提供原厂的产品彩页或软件说明书。</w:t>
      </w:r>
    </w:p>
    <w:p>
      <w:pPr>
        <w:spacing w:line="400" w:lineRule="exact"/>
        <w:rPr>
          <w:rFonts w:ascii="宋体" w:hAnsi="宋体"/>
          <w:sz w:val="24"/>
        </w:rPr>
      </w:pPr>
      <w:r>
        <w:rPr>
          <w:rFonts w:hint="eastAsia" w:ascii="宋体" w:hAnsi="宋体"/>
          <w:sz w:val="24"/>
        </w:rPr>
        <w:t>5、询价单一式四份</w:t>
      </w:r>
    </w:p>
    <w:p>
      <w:pPr>
        <w:spacing w:line="400" w:lineRule="exact"/>
        <w:rPr>
          <w:rFonts w:ascii="宋体" w:hAnsi="宋体"/>
          <w:sz w:val="24"/>
        </w:rPr>
      </w:pPr>
      <w:r>
        <w:rPr>
          <w:rFonts w:hint="eastAsia" w:ascii="宋体" w:hAnsi="宋体"/>
          <w:sz w:val="24"/>
        </w:rPr>
        <w:t xml:space="preserve">6、询价时间和地点:时间-- </w:t>
      </w:r>
      <w:r>
        <w:rPr>
          <w:rFonts w:ascii="宋体" w:hAnsi="宋体"/>
          <w:sz w:val="24"/>
        </w:rPr>
        <w:t>20</w:t>
      </w:r>
      <w:r>
        <w:rPr>
          <w:rFonts w:hint="eastAsia" w:ascii="宋体" w:hAnsi="宋体"/>
          <w:sz w:val="24"/>
          <w:lang w:val="en-US" w:eastAsia="zh-CN"/>
        </w:rPr>
        <w:t>21</w:t>
      </w:r>
      <w:r>
        <w:rPr>
          <w:rFonts w:ascii="宋体" w:hAnsi="宋体"/>
          <w:sz w:val="24"/>
        </w:rPr>
        <w:t>年</w:t>
      </w:r>
      <w:r>
        <w:rPr>
          <w:rFonts w:hint="eastAsia" w:ascii="宋体" w:hAnsi="宋体"/>
          <w:sz w:val="24"/>
          <w:lang w:val="en-US" w:eastAsia="zh-CN"/>
        </w:rPr>
        <w:t>12</w:t>
      </w:r>
      <w:r>
        <w:rPr>
          <w:rFonts w:ascii="宋体" w:hAnsi="宋体"/>
          <w:sz w:val="24"/>
        </w:rPr>
        <w:t>月</w:t>
      </w:r>
      <w:r>
        <w:rPr>
          <w:rFonts w:hint="eastAsia" w:ascii="宋体" w:hAnsi="宋体"/>
          <w:sz w:val="24"/>
          <w:lang w:val="en-US" w:eastAsia="zh-CN"/>
        </w:rPr>
        <w:t>17</w:t>
      </w:r>
      <w:r>
        <w:rPr>
          <w:rFonts w:ascii="宋体" w:hAnsi="宋体"/>
          <w:sz w:val="24"/>
        </w:rPr>
        <w:t>日</w:t>
      </w:r>
      <w:r>
        <w:rPr>
          <w:rFonts w:hint="eastAsia" w:ascii="宋体" w:hAnsi="宋体"/>
          <w:sz w:val="24"/>
        </w:rPr>
        <w:t xml:space="preserve"> </w:t>
      </w:r>
      <w:r>
        <w:rPr>
          <w:rFonts w:hint="eastAsia" w:ascii="宋体" w:hAnsi="宋体"/>
          <w:sz w:val="24"/>
          <w:lang w:val="en-US" w:eastAsia="zh-CN"/>
        </w:rPr>
        <w:t>上</w:t>
      </w:r>
      <w:r>
        <w:rPr>
          <w:rFonts w:hint="eastAsia" w:ascii="宋体" w:hAnsi="宋体"/>
          <w:sz w:val="24"/>
        </w:rPr>
        <w:t>午</w:t>
      </w:r>
      <w:r>
        <w:rPr>
          <w:rFonts w:hint="eastAsia" w:ascii="宋体" w:hAnsi="宋体"/>
          <w:sz w:val="24"/>
          <w:lang w:val="en-US" w:eastAsia="zh-CN"/>
        </w:rPr>
        <w:t>9</w:t>
      </w:r>
      <w:r>
        <w:rPr>
          <w:rFonts w:hint="eastAsia" w:ascii="宋体" w:hAnsi="宋体"/>
          <w:sz w:val="24"/>
        </w:rPr>
        <w:t>:</w:t>
      </w:r>
      <w:r>
        <w:rPr>
          <w:rFonts w:ascii="宋体" w:hAnsi="宋体"/>
          <w:sz w:val="24"/>
        </w:rPr>
        <w:t>3</w:t>
      </w:r>
      <w:r>
        <w:rPr>
          <w:rFonts w:hint="eastAsia" w:ascii="宋体" w:hAnsi="宋体"/>
          <w:sz w:val="24"/>
        </w:rPr>
        <w:t>0，地点----</w:t>
      </w:r>
      <w:r>
        <w:rPr>
          <w:rFonts w:hint="eastAsia" w:ascii="宋体" w:hAnsi="宋体"/>
          <w:sz w:val="24"/>
          <w:lang w:val="en-US" w:eastAsia="zh-CN"/>
        </w:rPr>
        <w:t>图书馆六楼</w:t>
      </w:r>
      <w:r>
        <w:rPr>
          <w:rFonts w:hint="eastAsia" w:ascii="宋体" w:hAnsi="宋体"/>
          <w:sz w:val="24"/>
        </w:rPr>
        <w:t>会议室。</w:t>
      </w:r>
    </w:p>
    <w:p>
      <w:pPr>
        <w:jc w:val="center"/>
        <w:rPr>
          <w:rFonts w:ascii="隶书" w:eastAsia="隶书"/>
          <w:sz w:val="36"/>
          <w:szCs w:val="32"/>
        </w:rPr>
      </w:pPr>
    </w:p>
    <w:p>
      <w:pPr>
        <w:jc w:val="center"/>
        <w:rPr>
          <w:rFonts w:ascii="隶书" w:eastAsia="隶书"/>
          <w:sz w:val="36"/>
          <w:szCs w:val="32"/>
        </w:rPr>
      </w:pPr>
    </w:p>
    <w:p>
      <w:pPr>
        <w:rPr>
          <w:rFonts w:ascii="隶书" w:eastAsia="隶书"/>
          <w:sz w:val="36"/>
          <w:szCs w:val="32"/>
        </w:rPr>
      </w:pPr>
    </w:p>
    <w:p>
      <w:pPr>
        <w:jc w:val="center"/>
        <w:rPr>
          <w:rFonts w:ascii="隶书" w:eastAsia="隶书"/>
          <w:sz w:val="36"/>
          <w:szCs w:val="32"/>
        </w:rPr>
      </w:pPr>
      <w:r>
        <w:rPr>
          <w:rFonts w:hint="eastAsia" w:ascii="隶书" w:eastAsia="隶书"/>
          <w:sz w:val="36"/>
          <w:szCs w:val="32"/>
        </w:rPr>
        <w:t>技术规格偏离表</w:t>
      </w:r>
    </w:p>
    <w:p>
      <w:pPr>
        <w:tabs>
          <w:tab w:val="left" w:pos="5355"/>
        </w:tabs>
        <w:spacing w:line="360" w:lineRule="auto"/>
        <w:rPr>
          <w:rFonts w:ascii="仿宋_GB2312" w:hAnsi="宋体" w:eastAsia="仿宋_GB2312"/>
          <w:sz w:val="24"/>
        </w:rPr>
      </w:pPr>
      <w:r>
        <w:rPr>
          <w:rFonts w:hint="eastAsia" w:ascii="仿宋_GB2312" w:hAnsi="宋体" w:eastAsia="仿宋_GB2312"/>
          <w:sz w:val="24"/>
        </w:rPr>
        <w:t>报价方名称（全称）：</w:t>
      </w:r>
    </w:p>
    <w:tbl>
      <w:tblPr>
        <w:tblStyle w:val="12"/>
        <w:tblW w:w="134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4262"/>
        <w:gridCol w:w="4262"/>
        <w:gridCol w:w="4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649"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序号</w:t>
            </w:r>
          </w:p>
        </w:tc>
        <w:tc>
          <w:tcPr>
            <w:tcW w:w="4262"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技 术 要 求</w:t>
            </w:r>
          </w:p>
        </w:tc>
        <w:tc>
          <w:tcPr>
            <w:tcW w:w="4262"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 xml:space="preserve"> 响 应 情 况</w:t>
            </w:r>
          </w:p>
        </w:tc>
        <w:tc>
          <w:tcPr>
            <w:tcW w:w="4262"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偏 离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jc w:val="center"/>
              <w:rPr>
                <w:rFonts w:ascii="仿宋_GB2312" w:hAnsi="宋体" w:eastAsia="仿宋_GB2312"/>
                <w:sz w:val="18"/>
                <w:u w:val="single"/>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bl>
    <w:p/>
    <w:p/>
    <w:p/>
    <w:p>
      <w:pPr>
        <w:jc w:val="center"/>
        <w:outlineLvl w:val="0"/>
        <w:rPr>
          <w:rFonts w:hint="eastAsia" w:ascii="Times New Roman" w:hAnsi="Times New Roman" w:eastAsia="黑体" w:cs="Times New Roman"/>
          <w:b/>
          <w:sz w:val="36"/>
          <w:szCs w:val="36"/>
        </w:rPr>
      </w:pPr>
    </w:p>
    <w:p>
      <w:pPr>
        <w:jc w:val="center"/>
        <w:outlineLvl w:val="0"/>
        <w:rPr>
          <w:rFonts w:ascii="Times New Roman" w:hAnsi="Times New Roman" w:eastAsia="黑体" w:cs="Times New Roman"/>
          <w:b/>
          <w:sz w:val="36"/>
          <w:szCs w:val="36"/>
        </w:rPr>
      </w:pPr>
      <w:r>
        <w:rPr>
          <w:rFonts w:hint="eastAsia" w:ascii="Times New Roman" w:hAnsi="Times New Roman" w:eastAsia="黑体" w:cs="Times New Roman"/>
          <w:b/>
          <w:sz w:val="36"/>
          <w:szCs w:val="36"/>
        </w:rPr>
        <w:t>中西医结合心血管疾病临床基础研究软件平台</w:t>
      </w:r>
    </w:p>
    <w:p>
      <w:pPr>
        <w:jc w:val="center"/>
        <w:outlineLvl w:val="0"/>
        <w:rPr>
          <w:rFonts w:ascii="Times New Roman" w:hAnsi="Times New Roman" w:eastAsia="黑体" w:cs="Times New Roman"/>
          <w:b/>
          <w:sz w:val="36"/>
          <w:szCs w:val="36"/>
        </w:rPr>
      </w:pPr>
      <w:r>
        <w:rPr>
          <w:rFonts w:hint="eastAsia" w:ascii="Times New Roman" w:hAnsi="Times New Roman" w:eastAsia="黑体" w:cs="Times New Roman"/>
          <w:b/>
          <w:sz w:val="36"/>
          <w:szCs w:val="36"/>
        </w:rPr>
        <w:t>建设参数</w:t>
      </w:r>
    </w:p>
    <w:p>
      <w:pPr>
        <w:pStyle w:val="3"/>
        <w:rPr>
          <w:rFonts w:ascii="Times New Roman" w:hAnsi="Times New Roman" w:cs="Times New Roman"/>
        </w:rPr>
      </w:pPr>
      <w:r>
        <w:rPr>
          <w:rFonts w:hint="eastAsia" w:ascii="Times New Roman" w:hAnsi="Times New Roman" w:cs="Times New Roman"/>
        </w:rPr>
        <w:t>供货时间</w:t>
      </w:r>
    </w:p>
    <w:p>
      <w:pPr>
        <w:rPr>
          <w:rFonts w:ascii="Times New Roman" w:hAnsi="Times New Roman" w:cs="Times New Roman"/>
        </w:rPr>
      </w:pPr>
      <w:r>
        <w:rPr>
          <w:rFonts w:ascii="Times New Roman" w:hAnsi="Times New Roman" w:cs="Times New Roman"/>
        </w:rPr>
        <w:t>自合同签订之日起150天交付。</w:t>
      </w:r>
    </w:p>
    <w:p>
      <w:pPr>
        <w:pStyle w:val="3"/>
        <w:rPr>
          <w:rFonts w:ascii="Times New Roman" w:hAnsi="Times New Roman" w:cs="Times New Roman"/>
        </w:rPr>
      </w:pPr>
      <w:r>
        <w:rPr>
          <w:rFonts w:hint="eastAsia" w:ascii="Times New Roman" w:hAnsi="Times New Roman" w:cs="Times New Roman"/>
        </w:rPr>
        <w:t>售后服务</w:t>
      </w:r>
    </w:p>
    <w:p>
      <w:pPr>
        <w:rPr>
          <w:rFonts w:ascii="Times New Roman" w:hAnsi="Times New Roman" w:cs="Times New Roman"/>
        </w:rPr>
      </w:pPr>
      <w:r>
        <w:rPr>
          <w:rFonts w:ascii="Times New Roman" w:hAnsi="Times New Roman" w:cs="Times New Roman"/>
        </w:rPr>
        <w:t>提供验收合格后1年免费质保服务</w:t>
      </w:r>
    </w:p>
    <w:p>
      <w:pPr>
        <w:pStyle w:val="3"/>
        <w:rPr>
          <w:rFonts w:ascii="Times New Roman" w:hAnsi="Times New Roman" w:cs="Times New Roman"/>
        </w:rPr>
      </w:pPr>
      <w:r>
        <w:rPr>
          <w:rFonts w:hint="eastAsia" w:ascii="Times New Roman" w:hAnsi="Times New Roman" w:cs="Times New Roman"/>
        </w:rPr>
        <w:t>付款条件</w:t>
      </w:r>
    </w:p>
    <w:p>
      <w:pPr>
        <w:ind w:firstLine="420"/>
        <w:rPr>
          <w:rFonts w:ascii="Times New Roman" w:hAnsi="Times New Roman" w:cs="Times New Roman"/>
        </w:rPr>
      </w:pPr>
      <w:r>
        <w:rPr>
          <w:rFonts w:hint="eastAsia" w:ascii="Times New Roman" w:hAnsi="Times New Roman" w:cs="Times New Roman"/>
        </w:rPr>
        <w:t>合同签订后乙方</w:t>
      </w:r>
      <w:r>
        <w:rPr>
          <w:rFonts w:ascii="Times New Roman" w:hAnsi="Times New Roman" w:cs="Times New Roman"/>
        </w:rPr>
        <w:t>须缴纳合同总金额5%的履约保证金，自缴纳履约保证金满</w:t>
      </w:r>
      <w:r>
        <w:rPr>
          <w:rFonts w:hint="eastAsia" w:ascii="Times New Roman" w:hAnsi="Times New Roman" w:cs="Times New Roman"/>
          <w:lang w:eastAsia="zh-Hans"/>
        </w:rPr>
        <w:t>一</w:t>
      </w:r>
      <w:r>
        <w:rPr>
          <w:rFonts w:ascii="Times New Roman" w:hAnsi="Times New Roman" w:cs="Times New Roman"/>
        </w:rPr>
        <w:t>年后，无任何履约问题，甲方无息退还履约保证金。</w:t>
      </w:r>
    </w:p>
    <w:p>
      <w:pPr>
        <w:ind w:firstLine="420"/>
        <w:rPr>
          <w:rFonts w:ascii="Times New Roman" w:hAnsi="Times New Roman" w:cs="Times New Roman"/>
        </w:rPr>
      </w:pPr>
      <w:r>
        <w:rPr>
          <w:rFonts w:ascii="Times New Roman" w:hAnsi="Times New Roman" w:cs="Times New Roman"/>
        </w:rPr>
        <w:t>签订合同后</w:t>
      </w:r>
      <w:r>
        <w:rPr>
          <w:rFonts w:hint="eastAsia" w:ascii="Times New Roman" w:hAnsi="Times New Roman" w:cs="Times New Roman"/>
        </w:rPr>
        <w:t>甲方</w:t>
      </w:r>
      <w:r>
        <w:rPr>
          <w:rFonts w:ascii="Times New Roman" w:hAnsi="Times New Roman" w:cs="Times New Roman"/>
        </w:rPr>
        <w:t>支付项目总额的</w:t>
      </w:r>
      <w:r>
        <w:rPr>
          <w:rFonts w:hint="eastAsia" w:ascii="Times New Roman" w:hAnsi="Times New Roman" w:cs="Times New Roman"/>
        </w:rPr>
        <w:t>3</w:t>
      </w:r>
      <w:r>
        <w:rPr>
          <w:rFonts w:ascii="Times New Roman" w:hAnsi="Times New Roman" w:cs="Times New Roman"/>
        </w:rPr>
        <w:t>0%</w:t>
      </w:r>
      <w:r>
        <w:rPr>
          <w:rFonts w:hint="eastAsia" w:ascii="Times New Roman" w:hAnsi="Times New Roman" w:cs="Times New Roman"/>
        </w:rPr>
        <w:t>作为定金</w:t>
      </w:r>
      <w:r>
        <w:rPr>
          <w:rFonts w:ascii="Times New Roman" w:hAnsi="Times New Roman" w:cs="Times New Roman"/>
        </w:rPr>
        <w:t>，</w:t>
      </w:r>
      <w:r>
        <w:rPr>
          <w:rFonts w:hint="eastAsia" w:ascii="Times New Roman" w:hAnsi="Times New Roman" w:cs="Times New Roman"/>
        </w:rPr>
        <w:t>项目终验后支付剩余70</w:t>
      </w:r>
      <w:r>
        <w:rPr>
          <w:rFonts w:ascii="Times New Roman" w:hAnsi="Times New Roman" w:cs="Times New Roman"/>
        </w:rPr>
        <w:t>%。</w:t>
      </w:r>
    </w:p>
    <w:p>
      <w:pPr>
        <w:ind w:firstLine="420"/>
        <w:rPr>
          <w:rFonts w:ascii="Times New Roman" w:hAnsi="Times New Roman" w:cs="Times New Roman"/>
        </w:rPr>
      </w:pPr>
    </w:p>
    <w:p>
      <w:pPr>
        <w:pStyle w:val="3"/>
        <w:rPr>
          <w:rFonts w:ascii="Times New Roman" w:hAnsi="Times New Roman" w:cs="Times New Roman"/>
        </w:rPr>
      </w:pPr>
      <w:r>
        <w:rPr>
          <w:rFonts w:ascii="Times New Roman" w:hAnsi="Times New Roman" w:cs="Times New Roman"/>
        </w:rPr>
        <w:t>采购需求</w:t>
      </w:r>
    </w:p>
    <w:p>
      <w:pPr>
        <w:pStyle w:val="4"/>
        <w:rPr>
          <w:rFonts w:ascii="Times New Roman" w:hAnsi="Times New Roman" w:cs="Times New Roman"/>
        </w:rPr>
      </w:pPr>
      <w:r>
        <w:rPr>
          <w:rFonts w:ascii="Times New Roman" w:hAnsi="Times New Roman" w:cs="Times New Roman"/>
        </w:rPr>
        <w:t>采购一览表</w:t>
      </w:r>
    </w:p>
    <w:tbl>
      <w:tblPr>
        <w:tblStyle w:val="1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4"/>
        <w:gridCol w:w="2504"/>
        <w:gridCol w:w="8557"/>
        <w:gridCol w:w="1041"/>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 w:type="pct"/>
            <w:tcBorders>
              <w:bottom w:val="single" w:color="auto" w:sz="4" w:space="0"/>
            </w:tcBorders>
          </w:tcPr>
          <w:p>
            <w:pPr>
              <w:spacing w:line="276" w:lineRule="auto"/>
              <w:jc w:val="center"/>
              <w:rPr>
                <w:rFonts w:ascii="Times New Roman" w:hAnsi="Times New Roman" w:cs="Times New Roman"/>
                <w:b/>
                <w:sz w:val="21"/>
                <w:szCs w:val="21"/>
              </w:rPr>
            </w:pPr>
            <w:r>
              <w:rPr>
                <w:rFonts w:ascii="Times New Roman" w:hAnsi="Times New Roman" w:cs="Times New Roman"/>
                <w:b/>
                <w:sz w:val="21"/>
                <w:szCs w:val="21"/>
              </w:rPr>
              <w:t>序号</w:t>
            </w:r>
          </w:p>
        </w:tc>
        <w:tc>
          <w:tcPr>
            <w:tcW w:w="883" w:type="pct"/>
            <w:tcBorders>
              <w:bottom w:val="single" w:color="auto" w:sz="4" w:space="0"/>
            </w:tcBorders>
          </w:tcPr>
          <w:p>
            <w:pPr>
              <w:spacing w:line="276" w:lineRule="auto"/>
              <w:jc w:val="center"/>
              <w:rPr>
                <w:rFonts w:ascii="Times New Roman" w:hAnsi="Times New Roman" w:cs="Times New Roman"/>
                <w:b/>
                <w:sz w:val="21"/>
                <w:szCs w:val="21"/>
              </w:rPr>
            </w:pPr>
            <w:r>
              <w:rPr>
                <w:rFonts w:ascii="Times New Roman" w:hAnsi="Times New Roman" w:cs="Times New Roman"/>
                <w:b/>
                <w:sz w:val="21"/>
                <w:szCs w:val="21"/>
              </w:rPr>
              <w:t>货物</w:t>
            </w:r>
          </w:p>
        </w:tc>
        <w:tc>
          <w:tcPr>
            <w:tcW w:w="3018" w:type="pct"/>
            <w:tcBorders>
              <w:bottom w:val="single" w:color="auto" w:sz="4" w:space="0"/>
            </w:tcBorders>
          </w:tcPr>
          <w:p>
            <w:pPr>
              <w:spacing w:line="276" w:lineRule="auto"/>
              <w:jc w:val="center"/>
              <w:rPr>
                <w:rFonts w:ascii="Times New Roman" w:hAnsi="Times New Roman" w:cs="Times New Roman"/>
                <w:b/>
                <w:sz w:val="21"/>
                <w:szCs w:val="21"/>
              </w:rPr>
            </w:pPr>
            <w:r>
              <w:rPr>
                <w:rFonts w:ascii="Times New Roman" w:hAnsi="Times New Roman" w:cs="Times New Roman"/>
                <w:b/>
                <w:sz w:val="21"/>
                <w:szCs w:val="21"/>
              </w:rPr>
              <w:t>内容</w:t>
            </w:r>
          </w:p>
        </w:tc>
        <w:tc>
          <w:tcPr>
            <w:tcW w:w="367" w:type="pct"/>
            <w:tcBorders>
              <w:bottom w:val="single" w:color="auto" w:sz="4" w:space="0"/>
            </w:tcBorders>
          </w:tcPr>
          <w:p>
            <w:pPr>
              <w:spacing w:line="276" w:lineRule="auto"/>
              <w:jc w:val="center"/>
              <w:rPr>
                <w:rFonts w:ascii="Times New Roman" w:hAnsi="Times New Roman" w:cs="Times New Roman"/>
                <w:b/>
                <w:sz w:val="21"/>
                <w:szCs w:val="21"/>
              </w:rPr>
            </w:pPr>
            <w:r>
              <w:rPr>
                <w:rFonts w:ascii="Times New Roman" w:hAnsi="Times New Roman" w:cs="Times New Roman"/>
                <w:b/>
                <w:sz w:val="21"/>
                <w:szCs w:val="21"/>
              </w:rPr>
              <w:t>单位</w:t>
            </w:r>
          </w:p>
        </w:tc>
        <w:tc>
          <w:tcPr>
            <w:tcW w:w="364" w:type="pct"/>
            <w:tcBorders>
              <w:bottom w:val="single" w:color="auto" w:sz="4" w:space="0"/>
            </w:tcBorders>
          </w:tcPr>
          <w:p>
            <w:pPr>
              <w:spacing w:line="276" w:lineRule="auto"/>
              <w:jc w:val="center"/>
              <w:rPr>
                <w:rFonts w:ascii="Times New Roman" w:hAnsi="Times New Roman" w:cs="Times New Roman"/>
                <w:b/>
                <w:sz w:val="21"/>
                <w:szCs w:val="21"/>
              </w:rPr>
            </w:pPr>
            <w:r>
              <w:rPr>
                <w:rFonts w:ascii="Times New Roman" w:hAnsi="Times New Roman" w:cs="Times New Roman"/>
                <w:b/>
                <w:sz w:val="21"/>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45" w:hRule="atLeast"/>
        </w:trPr>
        <w:tc>
          <w:tcPr>
            <w:tcW w:w="365" w:type="pc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883" w:type="pc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sz w:val="21"/>
                <w:szCs w:val="21"/>
              </w:rPr>
            </w:pPr>
            <w:r>
              <w:rPr>
                <w:rFonts w:hint="eastAsia" w:ascii="Times New Roman" w:hAnsi="Times New Roman" w:cs="Times New Roman"/>
                <w:sz w:val="21"/>
                <w:szCs w:val="21"/>
              </w:rPr>
              <w:t>中西医结合心血管疾病临床基础研究规范化数据集</w:t>
            </w:r>
          </w:p>
        </w:tc>
        <w:tc>
          <w:tcPr>
            <w:tcW w:w="3018" w:type="pct"/>
            <w:tcBorders>
              <w:top w:val="single" w:color="auto" w:sz="4" w:space="0"/>
              <w:left w:val="single" w:color="auto" w:sz="4" w:space="0"/>
              <w:bottom w:val="single" w:color="auto" w:sz="4" w:space="0"/>
              <w:right w:val="single" w:color="auto" w:sz="4" w:space="0"/>
            </w:tcBorders>
          </w:tcPr>
          <w:p>
            <w:pPr>
              <w:pStyle w:val="10"/>
              <w:widowControl/>
              <w:spacing w:beforeAutospacing="0" w:afterAutospacing="0" w:line="400" w:lineRule="exact"/>
              <w:rPr>
                <w:rFonts w:hint="eastAsia"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通过高血压档案的阶梯式智能引导患者不断完善病例数据，从而动态地构建患者的高血压画像，更有利于实现从数据收集到AI智慧诊断评估的过程。涵盖高血压症状的术语</w:t>
            </w:r>
            <w:r>
              <w:rPr>
                <w:rFonts w:asciiTheme="minorEastAsia" w:hAnsiTheme="minorEastAsia" w:cstheme="minorEastAsia"/>
                <w:sz w:val="21"/>
                <w:szCs w:val="21"/>
                <w:shd w:val="clear" w:color="auto" w:fill="FFFFFF"/>
                <w:lang w:eastAsia="zh-Hans"/>
              </w:rPr>
              <w:t>3</w:t>
            </w:r>
            <w:r>
              <w:rPr>
                <w:rFonts w:hint="eastAsia" w:asciiTheme="minorEastAsia" w:hAnsiTheme="minorEastAsia" w:cstheme="minorEastAsia"/>
                <w:sz w:val="21"/>
                <w:szCs w:val="21"/>
                <w:shd w:val="clear" w:color="auto" w:fill="FFFFFF"/>
              </w:rPr>
              <w:t>00个，证型</w:t>
            </w:r>
            <w:r>
              <w:rPr>
                <w:rFonts w:hint="eastAsia" w:asciiTheme="minorEastAsia" w:hAnsiTheme="minorEastAsia" w:cstheme="minorEastAsia"/>
                <w:sz w:val="21"/>
                <w:szCs w:val="21"/>
                <w:shd w:val="clear" w:color="auto" w:fill="FFFFFF"/>
                <w:lang w:eastAsia="zh-Hans"/>
              </w:rPr>
              <w:t>不少于</w:t>
            </w:r>
            <w:r>
              <w:rPr>
                <w:rFonts w:hint="eastAsia" w:asciiTheme="minorEastAsia" w:hAnsiTheme="minorEastAsia" w:cstheme="minorEastAsia"/>
                <w:sz w:val="21"/>
                <w:szCs w:val="21"/>
                <w:shd w:val="clear" w:color="auto" w:fill="FFFFFF"/>
              </w:rPr>
              <w:t>50个，对其进行规范化的规整。</w:t>
            </w:r>
          </w:p>
        </w:tc>
        <w:tc>
          <w:tcPr>
            <w:tcW w:w="367" w:type="pc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套</w:t>
            </w:r>
          </w:p>
        </w:tc>
        <w:tc>
          <w:tcPr>
            <w:tcW w:w="364" w:type="pc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365" w:type="pct"/>
            <w:tcBorders>
              <w:top w:val="single" w:color="auto" w:sz="4" w:space="0"/>
            </w:tcBorders>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883" w:type="pct"/>
            <w:tcBorders>
              <w:top w:val="single" w:color="auto" w:sz="4" w:space="0"/>
            </w:tcBorders>
            <w:vAlign w:val="center"/>
          </w:tcPr>
          <w:p>
            <w:pPr>
              <w:spacing w:line="276" w:lineRule="auto"/>
              <w:jc w:val="center"/>
              <w:rPr>
                <w:rFonts w:ascii="Times New Roman" w:hAnsi="Times New Roman" w:cs="Times New Roman"/>
                <w:sz w:val="21"/>
                <w:szCs w:val="21"/>
              </w:rPr>
            </w:pPr>
            <w:r>
              <w:rPr>
                <w:rFonts w:hint="eastAsia" w:ascii="Times New Roman" w:hAnsi="Times New Roman" w:cs="Times New Roman"/>
                <w:sz w:val="21"/>
                <w:szCs w:val="21"/>
              </w:rPr>
              <w:t>中西医结合心血管疾病临床基础研究软件</w:t>
            </w:r>
          </w:p>
        </w:tc>
        <w:tc>
          <w:tcPr>
            <w:tcW w:w="3018" w:type="pct"/>
            <w:tcBorders>
              <w:top w:val="single" w:color="auto" w:sz="4" w:space="0"/>
            </w:tcBorders>
          </w:tcPr>
          <w:p>
            <w:pPr>
              <w:spacing w:line="276" w:lineRule="auto"/>
              <w:rPr>
                <w:rFonts w:ascii="Times New Roman" w:hAnsi="Times New Roman" w:cs="Times New Roman"/>
                <w:sz w:val="21"/>
                <w:szCs w:val="21"/>
              </w:rPr>
            </w:pPr>
            <w:r>
              <w:rPr>
                <w:rFonts w:hint="eastAsia" w:ascii="Times New Roman" w:hAnsi="Times New Roman" w:cs="Times New Roman"/>
                <w:sz w:val="21"/>
                <w:szCs w:val="21"/>
              </w:rPr>
              <w:t>包括两端：主机端和移动端；其中，主机端</w:t>
            </w:r>
            <w:r>
              <w:rPr>
                <w:rFonts w:ascii="Times New Roman" w:hAnsi="Times New Roman" w:cs="Times New Roman"/>
                <w:sz w:val="21"/>
                <w:szCs w:val="21"/>
              </w:rPr>
              <w:t>包括</w:t>
            </w:r>
            <w:r>
              <w:rPr>
                <w:rFonts w:hint="eastAsia" w:ascii="Times New Roman" w:hAnsi="Times New Roman" w:cs="Times New Roman"/>
                <w:sz w:val="21"/>
                <w:szCs w:val="21"/>
              </w:rPr>
              <w:t>： AI智慧诊断评估</w:t>
            </w:r>
            <w:r>
              <w:rPr>
                <w:rFonts w:ascii="Times New Roman" w:hAnsi="Times New Roman" w:cs="Times New Roman"/>
                <w:sz w:val="21"/>
                <w:szCs w:val="21"/>
              </w:rPr>
              <w:t>、</w:t>
            </w:r>
            <w:r>
              <w:rPr>
                <w:rFonts w:hint="eastAsia" w:ascii="Times New Roman" w:hAnsi="Times New Roman" w:cs="Times New Roman"/>
                <w:sz w:val="21"/>
                <w:szCs w:val="21"/>
              </w:rPr>
              <w:t>智慧互动</w:t>
            </w:r>
            <w:r>
              <w:rPr>
                <w:rFonts w:ascii="Times New Roman" w:hAnsi="Times New Roman" w:cs="Times New Roman"/>
                <w:sz w:val="21"/>
                <w:szCs w:val="21"/>
              </w:rPr>
              <w:t>、</w:t>
            </w:r>
            <w:r>
              <w:rPr>
                <w:rFonts w:hint="eastAsia" w:ascii="Times New Roman" w:hAnsi="Times New Roman" w:cs="Times New Roman"/>
                <w:sz w:val="21"/>
                <w:szCs w:val="21"/>
              </w:rPr>
              <w:t>统计分析</w:t>
            </w:r>
            <w:r>
              <w:rPr>
                <w:rFonts w:ascii="Times New Roman" w:hAnsi="Times New Roman" w:cs="Times New Roman"/>
                <w:sz w:val="21"/>
                <w:szCs w:val="21"/>
              </w:rPr>
              <w:t>、</w:t>
            </w:r>
            <w:r>
              <w:rPr>
                <w:rFonts w:hint="eastAsia" w:ascii="Times New Roman" w:hAnsi="Times New Roman" w:cs="Times New Roman"/>
                <w:sz w:val="21"/>
                <w:szCs w:val="21"/>
              </w:rPr>
              <w:t>平台登录管理等模块；移动端包括：</w:t>
            </w:r>
            <w:r>
              <w:rPr>
                <w:rFonts w:hint="eastAsia" w:asciiTheme="minorEastAsia" w:hAnsiTheme="minorEastAsia" w:cstheme="minorEastAsia"/>
                <w:sz w:val="21"/>
                <w:szCs w:val="21"/>
                <w:shd w:val="clear" w:color="auto" w:fill="FFFFFF"/>
              </w:rPr>
              <w:t>健康概况、记录管理、分析管理等3大模块；</w:t>
            </w:r>
            <w:r>
              <w:rPr>
                <w:rFonts w:ascii="Times New Roman" w:hAnsi="Times New Roman" w:cs="Times New Roman"/>
                <w:sz w:val="21"/>
                <w:szCs w:val="21"/>
              </w:rPr>
              <w:t>根据学校具体需求对系统进行定制开发。</w:t>
            </w:r>
          </w:p>
        </w:tc>
        <w:tc>
          <w:tcPr>
            <w:tcW w:w="367" w:type="pct"/>
            <w:tcBorders>
              <w:top w:val="single" w:color="auto" w:sz="4" w:space="0"/>
            </w:tcBorders>
            <w:vAlign w:val="center"/>
          </w:tcPr>
          <w:p>
            <w:pPr>
              <w:spacing w:line="276" w:lineRule="auto"/>
              <w:jc w:val="center"/>
              <w:rPr>
                <w:rFonts w:ascii="Times New Roman" w:hAnsi="Times New Roman" w:cs="Times New Roman"/>
                <w:sz w:val="21"/>
                <w:szCs w:val="21"/>
                <w:lang w:eastAsia="zh-Hans"/>
              </w:rPr>
            </w:pPr>
            <w:r>
              <w:rPr>
                <w:rFonts w:hint="eastAsia" w:ascii="Times New Roman" w:hAnsi="Times New Roman" w:cs="Times New Roman"/>
                <w:sz w:val="21"/>
                <w:szCs w:val="21"/>
              </w:rPr>
              <w:t>套</w:t>
            </w:r>
          </w:p>
        </w:tc>
        <w:tc>
          <w:tcPr>
            <w:tcW w:w="364" w:type="pct"/>
            <w:tcBorders>
              <w:top w:val="single" w:color="auto" w:sz="4" w:space="0"/>
            </w:tcBorders>
            <w:vAlign w:val="center"/>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1</w:t>
            </w:r>
          </w:p>
        </w:tc>
      </w:tr>
    </w:tbl>
    <w:p>
      <w:pPr>
        <w:rPr>
          <w:rFonts w:ascii="Times New Roman" w:hAnsi="Times New Roman" w:cs="Times New Roman"/>
        </w:rPr>
      </w:pPr>
    </w:p>
    <w:p>
      <w:pPr>
        <w:pStyle w:val="2"/>
      </w:pPr>
    </w:p>
    <w:p>
      <w:pPr>
        <w:pStyle w:val="2"/>
      </w:pPr>
    </w:p>
    <w:p>
      <w:pPr>
        <w:pStyle w:val="2"/>
      </w:pPr>
    </w:p>
    <w:p>
      <w:pPr>
        <w:pStyle w:val="2"/>
      </w:pPr>
      <w:bookmarkStart w:id="0" w:name="_GoBack"/>
      <w:bookmarkEnd w:id="0"/>
    </w:p>
    <w:p>
      <w:pPr>
        <w:pStyle w:val="2"/>
        <w:rPr>
          <w:rFonts w:hint="eastAsia"/>
        </w:rPr>
      </w:pPr>
    </w:p>
    <w:p>
      <w:pPr>
        <w:pStyle w:val="4"/>
        <w:rPr>
          <w:rFonts w:ascii="Times New Roman" w:hAnsi="Times New Roman" w:cs="Times New Roman"/>
        </w:rPr>
      </w:pPr>
      <w:r>
        <w:rPr>
          <w:rFonts w:ascii="Times New Roman" w:hAnsi="Times New Roman" w:cs="Times New Roman"/>
        </w:rPr>
        <w:t>系统功能需求</w:t>
      </w:r>
    </w:p>
    <w:tbl>
      <w:tblPr>
        <w:tblStyle w:val="1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7"/>
        <w:gridCol w:w="1241"/>
        <w:gridCol w:w="1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0" w:type="pct"/>
            <w:vAlign w:val="center"/>
          </w:tcPr>
          <w:p>
            <w:pPr>
              <w:spacing w:line="240" w:lineRule="auto"/>
              <w:jc w:val="center"/>
              <w:rPr>
                <w:rFonts w:ascii="Times New Roman" w:hAnsi="Times New Roman" w:cs="Times New Roman"/>
                <w:b/>
                <w:sz w:val="21"/>
                <w:szCs w:val="21"/>
              </w:rPr>
            </w:pPr>
            <w:r>
              <w:rPr>
                <w:rFonts w:ascii="Times New Roman" w:hAnsi="Times New Roman" w:cs="Times New Roman"/>
                <w:b/>
                <w:sz w:val="21"/>
                <w:szCs w:val="21"/>
              </w:rPr>
              <w:t>子系统</w:t>
            </w:r>
          </w:p>
        </w:tc>
        <w:tc>
          <w:tcPr>
            <w:tcW w:w="438" w:type="pct"/>
            <w:vAlign w:val="center"/>
          </w:tcPr>
          <w:p>
            <w:pPr>
              <w:spacing w:line="240" w:lineRule="auto"/>
              <w:jc w:val="center"/>
              <w:rPr>
                <w:rFonts w:ascii="Times New Roman" w:hAnsi="Times New Roman" w:cs="Times New Roman"/>
                <w:b/>
                <w:sz w:val="21"/>
                <w:szCs w:val="21"/>
              </w:rPr>
            </w:pPr>
            <w:r>
              <w:rPr>
                <w:rFonts w:ascii="Times New Roman" w:hAnsi="Times New Roman" w:cs="Times New Roman"/>
                <w:b/>
                <w:sz w:val="21"/>
                <w:szCs w:val="21"/>
              </w:rPr>
              <w:t>模块</w:t>
            </w:r>
          </w:p>
        </w:tc>
        <w:tc>
          <w:tcPr>
            <w:tcW w:w="4121" w:type="pct"/>
            <w:vAlign w:val="center"/>
          </w:tcPr>
          <w:p>
            <w:pPr>
              <w:spacing w:line="240" w:lineRule="auto"/>
              <w:jc w:val="center"/>
              <w:rPr>
                <w:rFonts w:ascii="Times New Roman" w:hAnsi="Times New Roman" w:cs="Times New Roman"/>
                <w:b/>
                <w:sz w:val="21"/>
                <w:szCs w:val="21"/>
              </w:rPr>
            </w:pPr>
            <w:r>
              <w:rPr>
                <w:rFonts w:ascii="Times New Roman" w:hAnsi="Times New Roman" w:cs="Times New Roman"/>
                <w:b/>
                <w:sz w:val="21"/>
                <w:szCs w:val="21"/>
              </w:rPr>
              <w:t>功能需求描述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pct"/>
            <w:vMerge w:val="restart"/>
            <w:vAlign w:val="center"/>
          </w:tcPr>
          <w:p>
            <w:pPr>
              <w:spacing w:line="240" w:lineRule="auto"/>
              <w:jc w:val="center"/>
              <w:rPr>
                <w:rFonts w:ascii="Times New Roman" w:hAnsi="Times New Roman" w:cs="Times New Roman"/>
                <w:sz w:val="21"/>
                <w:szCs w:val="21"/>
              </w:rPr>
            </w:pPr>
            <w:r>
              <w:rPr>
                <w:rFonts w:ascii="Times New Roman" w:hAnsi="Times New Roman" w:cs="Times New Roman"/>
                <w:sz w:val="21"/>
                <w:szCs w:val="21"/>
              </w:rPr>
              <w:t>1</w:t>
            </w:r>
            <w:r>
              <w:rPr>
                <w:rFonts w:hint="eastAsia" w:ascii="Times New Roman" w:hAnsi="Times New Roman" w:cs="Times New Roman"/>
                <w:sz w:val="21"/>
                <w:szCs w:val="21"/>
              </w:rPr>
              <w:t>平台端</w:t>
            </w:r>
          </w:p>
        </w:tc>
        <w:tc>
          <w:tcPr>
            <w:tcW w:w="438" w:type="pct"/>
            <w:vAlign w:val="center"/>
          </w:tcPr>
          <w:p>
            <w:pPr>
              <w:spacing w:line="240" w:lineRule="auto"/>
              <w:rPr>
                <w:rFonts w:ascii="Times New Roman" w:hAnsi="Times New Roman" w:cs="Times New Roman"/>
                <w:sz w:val="21"/>
                <w:szCs w:val="21"/>
              </w:rPr>
            </w:pPr>
            <w:r>
              <w:rPr>
                <w:rFonts w:ascii="Times New Roman" w:hAnsi="Times New Roman" w:cs="Times New Roman"/>
                <w:sz w:val="21"/>
                <w:szCs w:val="21"/>
              </w:rPr>
              <w:t>1.1 高血压</w:t>
            </w:r>
            <w:r>
              <w:rPr>
                <w:rFonts w:hint="eastAsia" w:ascii="Times New Roman" w:hAnsi="Times New Roman" w:cs="Times New Roman"/>
                <w:sz w:val="21"/>
                <w:szCs w:val="21"/>
              </w:rPr>
              <w:t>规范化数据集</w:t>
            </w:r>
          </w:p>
        </w:tc>
        <w:tc>
          <w:tcPr>
            <w:tcW w:w="4121" w:type="pct"/>
            <w:vAlign w:val="center"/>
          </w:tcPr>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通过高血压档案的阶梯式智能引导患者不断完善病例数据，从而动态地构建患者的高血压画像，更有利于实现从数据收集到AI智慧诊断评估的过程。</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涵盖高血压症状的术语</w:t>
            </w:r>
            <w:r>
              <w:rPr>
                <w:rFonts w:asciiTheme="minorEastAsia" w:hAnsiTheme="minorEastAsia" w:cstheme="minorEastAsia"/>
                <w:sz w:val="21"/>
                <w:szCs w:val="21"/>
                <w:shd w:val="clear" w:color="auto" w:fill="FFFFFF"/>
                <w:lang w:eastAsia="zh-Hans"/>
              </w:rPr>
              <w:t>3</w:t>
            </w:r>
            <w:r>
              <w:rPr>
                <w:rFonts w:hint="eastAsia" w:asciiTheme="minorEastAsia" w:hAnsiTheme="minorEastAsia" w:cstheme="minorEastAsia"/>
                <w:sz w:val="21"/>
                <w:szCs w:val="21"/>
                <w:shd w:val="clear" w:color="auto" w:fill="FFFFFF"/>
              </w:rPr>
              <w:t>00个，证型</w:t>
            </w:r>
            <w:r>
              <w:rPr>
                <w:rFonts w:hint="eastAsia" w:asciiTheme="minorEastAsia" w:hAnsiTheme="minorEastAsia" w:cstheme="minorEastAsia"/>
                <w:sz w:val="21"/>
                <w:szCs w:val="21"/>
                <w:shd w:val="clear" w:color="auto" w:fill="FFFFFF"/>
                <w:lang w:eastAsia="zh-Hans"/>
              </w:rPr>
              <w:t>不少于</w:t>
            </w:r>
            <w:r>
              <w:rPr>
                <w:rFonts w:hint="eastAsia" w:asciiTheme="minorEastAsia" w:hAnsiTheme="minorEastAsia" w:cstheme="minorEastAsia"/>
                <w:sz w:val="21"/>
                <w:szCs w:val="21"/>
                <w:shd w:val="clear" w:color="auto" w:fill="FFFFFF"/>
              </w:rPr>
              <w:t>50个，对其进行规范化的规整。</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asciiTheme="minorEastAsia" w:hAnsiTheme="minorEastAsia" w:cstheme="minorEastAsia"/>
                <w:sz w:val="21"/>
                <w:szCs w:val="21"/>
                <w:shd w:val="clear" w:color="auto" w:fill="FFFFFF"/>
              </w:rPr>
              <w:t>1</w:t>
            </w:r>
            <w:r>
              <w:rPr>
                <w:rFonts w:hint="eastAsia" w:asciiTheme="minorEastAsia" w:hAnsiTheme="minorEastAsia" w:cstheme="minorEastAsia"/>
                <w:sz w:val="21"/>
                <w:szCs w:val="21"/>
                <w:shd w:val="clear" w:color="auto" w:fill="FFFFFF"/>
              </w:rPr>
              <w:t>、高血压术语管理</w:t>
            </w:r>
          </w:p>
          <w:p>
            <w:pPr>
              <w:pStyle w:val="10"/>
              <w:widowControl/>
              <w:numPr>
                <w:ilvl w:val="0"/>
                <w:numId w:val="4"/>
              </w:numPr>
              <w:spacing w:beforeAutospacing="0" w:afterAutospacing="0" w:line="400" w:lineRule="exact"/>
              <w:ind w:firstLine="420" w:firstLineChars="200"/>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高血压知识图谱包括高血压术语（3</w:t>
            </w:r>
            <w:r>
              <w:rPr>
                <w:rFonts w:asciiTheme="minorEastAsia" w:hAnsiTheme="minorEastAsia" w:cstheme="minorEastAsia"/>
                <w:sz w:val="21"/>
                <w:szCs w:val="21"/>
                <w:shd w:val="clear" w:color="auto" w:fill="FFFFFF"/>
              </w:rPr>
              <w:t>00个</w:t>
            </w:r>
            <w:r>
              <w:rPr>
                <w:rFonts w:hint="eastAsia" w:asciiTheme="minorEastAsia" w:hAnsiTheme="minorEastAsia" w:cstheme="minorEastAsia"/>
                <w:sz w:val="21"/>
                <w:szCs w:val="21"/>
                <w:shd w:val="clear" w:color="auto" w:fill="FFFFFF"/>
              </w:rPr>
              <w:t>）/证型（5</w:t>
            </w:r>
            <w:r>
              <w:rPr>
                <w:rFonts w:asciiTheme="minorEastAsia" w:hAnsiTheme="minorEastAsia" w:cstheme="minorEastAsia"/>
                <w:sz w:val="21"/>
                <w:szCs w:val="21"/>
                <w:shd w:val="clear" w:color="auto" w:fill="FFFFFF"/>
              </w:rPr>
              <w:t>0个</w:t>
            </w:r>
            <w:r>
              <w:rPr>
                <w:rFonts w:hint="eastAsia" w:asciiTheme="minorEastAsia" w:hAnsiTheme="minorEastAsia" w:cstheme="minorEastAsia"/>
                <w:sz w:val="21"/>
                <w:szCs w:val="21"/>
                <w:shd w:val="clear" w:color="auto" w:fill="FFFFFF"/>
              </w:rPr>
              <w:t>）管理</w:t>
            </w:r>
          </w:p>
          <w:p>
            <w:pPr>
              <w:pStyle w:val="10"/>
              <w:widowControl/>
              <w:numPr>
                <w:ilvl w:val="0"/>
                <w:numId w:val="4"/>
              </w:numPr>
              <w:spacing w:beforeAutospacing="0" w:afterAutospacing="0" w:line="400" w:lineRule="exact"/>
              <w:ind w:firstLine="420" w:firstLineChars="200"/>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高血压健康方案、宣教内容管理。</w:t>
            </w:r>
          </w:p>
          <w:p>
            <w:pPr>
              <w:pStyle w:val="10"/>
              <w:widowControl/>
              <w:numPr>
                <w:ilvl w:val="0"/>
                <w:numId w:val="4"/>
              </w:numPr>
              <w:spacing w:beforeAutospacing="0" w:afterAutospacing="0" w:line="400" w:lineRule="exact"/>
              <w:ind w:firstLine="420" w:firstLineChars="200"/>
              <w:rPr>
                <w:rFonts w:asciiTheme="minorEastAsia" w:hAnsiTheme="minorEastAsia" w:cstheme="minorEastAsia"/>
                <w:sz w:val="21"/>
                <w:szCs w:val="21"/>
                <w:shd w:val="clear" w:color="auto" w:fill="FFFFFF"/>
              </w:rPr>
            </w:pPr>
            <w:r>
              <w:rPr>
                <w:rFonts w:asciiTheme="minorEastAsia" w:hAnsiTheme="minorEastAsia" w:cstheme="minorEastAsia"/>
                <w:sz w:val="21"/>
                <w:szCs w:val="21"/>
                <w:shd w:val="clear" w:color="auto" w:fill="FFFFFF"/>
              </w:rPr>
              <w:t>绘制出高血压知识图谱</w:t>
            </w:r>
            <w:r>
              <w:rPr>
                <w:rFonts w:hint="eastAsia" w:asciiTheme="minorEastAsia" w:hAnsiTheme="minorEastAsia" w:cstheme="minorEastAsia"/>
                <w:sz w:val="21"/>
                <w:szCs w:val="21"/>
                <w:shd w:val="clear" w:color="auto" w:fill="FFFFFF"/>
              </w:rPr>
              <w:t>，</w:t>
            </w:r>
            <w:r>
              <w:rPr>
                <w:rFonts w:asciiTheme="minorEastAsia" w:hAnsiTheme="minorEastAsia" w:cstheme="minorEastAsia"/>
                <w:sz w:val="21"/>
                <w:szCs w:val="21"/>
                <w:shd w:val="clear" w:color="auto" w:fill="FFFFFF"/>
              </w:rPr>
              <w:t>搭建</w:t>
            </w:r>
            <w:r>
              <w:rPr>
                <w:rFonts w:hint="eastAsia" w:asciiTheme="minorEastAsia" w:hAnsiTheme="minorEastAsia" w:cstheme="minorEastAsia"/>
                <w:sz w:val="21"/>
                <w:szCs w:val="21"/>
                <w:shd w:val="clear" w:color="auto" w:fill="FFFFFF"/>
              </w:rPr>
              <w:t>A</w:t>
            </w:r>
            <w:r>
              <w:rPr>
                <w:rFonts w:asciiTheme="minorEastAsia" w:hAnsiTheme="minorEastAsia" w:cstheme="minorEastAsia"/>
                <w:sz w:val="21"/>
                <w:szCs w:val="21"/>
                <w:shd w:val="clear" w:color="auto" w:fill="FFFFFF"/>
              </w:rPr>
              <w:t>I诊断评估的知识库基础</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2、高血压患者健康档案：快速展示患者的个人基本信息、病例诊断情况、动态血压数据、用药历史及跟踪情况。</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asciiTheme="minorEastAsia" w:hAnsiTheme="minorEastAsia" w:cstheme="minorEastAsia"/>
                <w:sz w:val="21"/>
                <w:szCs w:val="21"/>
                <w:shd w:val="clear" w:color="auto" w:fill="FFFFFF"/>
              </w:rPr>
              <w:t>3</w:t>
            </w:r>
            <w:r>
              <w:rPr>
                <w:rFonts w:hint="eastAsia" w:asciiTheme="minorEastAsia" w:hAnsiTheme="minorEastAsia" w:cstheme="minorEastAsia"/>
                <w:sz w:val="21"/>
                <w:szCs w:val="21"/>
                <w:shd w:val="clear" w:color="auto" w:fill="FFFFFF"/>
              </w:rPr>
              <w:t>、医生数字档案：医生通过医生移动端进行注册，并完善相关数据，提交平台，经由平台管理员及医务专家组审核认定后，方可提供在线服务。</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4、病例大数据管理：血压监测是评估血压水平、诊断高血压及观察降压疗效的根本手段和方法。远程监测是互联网高血压管理的核心技术，采取血压监测设备与移动终端或网络平台连接的软硬结合的方式，可实现将家庭血压或动态血压数据通过网络上传到云端或大数据平台。</w:t>
            </w:r>
          </w:p>
          <w:p>
            <w:pPr>
              <w:spacing w:line="240" w:lineRule="auto"/>
              <w:rPr>
                <w:rFonts w:asciiTheme="minorEastAsia" w:hAnsiTheme="minorEastAsia" w:cstheme="minorEastAsia"/>
                <w:sz w:val="21"/>
                <w:szCs w:val="21"/>
                <w:shd w:val="clear" w:color="auto" w:fill="FFFFFF"/>
              </w:rPr>
            </w:pPr>
            <w:r>
              <w:rPr>
                <w:rFonts w:ascii="Times New Roman" w:hAnsi="Times New Roman" w:cs="Times New Roman"/>
                <w:sz w:val="21"/>
                <w:szCs w:val="21"/>
                <w:u w:val="single"/>
              </w:rPr>
              <w:t>【演示功能1】</w:t>
            </w:r>
            <w:r>
              <w:rPr>
                <w:rFonts w:hint="eastAsia" w:ascii="Times New Roman" w:hAnsi="Times New Roman" w:cs="Times New Roman"/>
                <w:sz w:val="21"/>
                <w:szCs w:val="21"/>
                <w:u w:val="single"/>
              </w:rPr>
              <w:t>智慧档案功能演示：自行获取演示数据，对智慧档案功能进行演示，包括高血压术语管理、健康方案管理知识库、宣教内容管理知识库、病例大数据等。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pct"/>
            <w:vMerge w:val="continue"/>
            <w:vAlign w:val="center"/>
          </w:tcPr>
          <w:p>
            <w:pPr>
              <w:spacing w:line="240" w:lineRule="auto"/>
              <w:jc w:val="center"/>
              <w:rPr>
                <w:rFonts w:ascii="Times New Roman" w:hAnsi="Times New Roman" w:cs="Times New Roman"/>
                <w:sz w:val="21"/>
                <w:szCs w:val="21"/>
              </w:rPr>
            </w:pPr>
          </w:p>
        </w:tc>
        <w:tc>
          <w:tcPr>
            <w:tcW w:w="438" w:type="pct"/>
            <w:vAlign w:val="center"/>
          </w:tcPr>
          <w:p>
            <w:pPr>
              <w:spacing w:line="240" w:lineRule="auto"/>
              <w:rPr>
                <w:rFonts w:ascii="Times New Roman" w:hAnsi="Times New Roman" w:cs="Times New Roman"/>
                <w:sz w:val="21"/>
                <w:szCs w:val="21"/>
              </w:rPr>
            </w:pPr>
            <w:r>
              <w:rPr>
                <w:rFonts w:ascii="Times New Roman" w:hAnsi="Times New Roman" w:cs="Times New Roman"/>
                <w:sz w:val="21"/>
                <w:szCs w:val="21"/>
              </w:rPr>
              <w:t>1.2</w:t>
            </w:r>
            <w:r>
              <w:rPr>
                <w:rFonts w:hint="eastAsia" w:ascii="Times New Roman" w:hAnsi="Times New Roman" w:cs="Times New Roman"/>
                <w:sz w:val="21"/>
                <w:szCs w:val="21"/>
              </w:rPr>
              <w:t>AI智慧诊断评估</w:t>
            </w:r>
          </w:p>
        </w:tc>
        <w:tc>
          <w:tcPr>
            <w:tcW w:w="4121" w:type="pct"/>
            <w:vAlign w:val="center"/>
          </w:tcPr>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1、AI诊断评估</w:t>
            </w:r>
            <w:r>
              <w:rPr>
                <w:rFonts w:hint="eastAsia" w:asciiTheme="minorEastAsia" w:hAnsiTheme="minorEastAsia" w:cstheme="minorEastAsia"/>
                <w:sz w:val="21"/>
                <w:szCs w:val="21"/>
                <w:shd w:val="clear" w:color="auto" w:fill="FFFFFF"/>
                <w:lang w:eastAsia="zh-Hans"/>
              </w:rPr>
              <w:t>量管理</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根据患者的数据完整性及医生复核等情况，来制定不同的诊断评估等级，方便患者和医生掌握该诊断报告的诊断能力或权威性。</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根据300术语与</w:t>
            </w:r>
            <w:r>
              <w:rPr>
                <w:rFonts w:asciiTheme="minorEastAsia" w:hAnsiTheme="minorEastAsia" w:cstheme="minorEastAsia"/>
                <w:sz w:val="21"/>
                <w:szCs w:val="21"/>
                <w:shd w:val="clear" w:color="auto" w:fill="FFFFFF"/>
              </w:rPr>
              <w:t>50</w:t>
            </w:r>
            <w:r>
              <w:rPr>
                <w:rFonts w:hint="eastAsia" w:asciiTheme="minorEastAsia" w:hAnsiTheme="minorEastAsia" w:cstheme="minorEastAsia"/>
                <w:sz w:val="21"/>
                <w:szCs w:val="21"/>
                <w:shd w:val="clear" w:color="auto" w:fill="FFFFFF"/>
              </w:rPr>
              <w:t>个主要证型，梳理的高血压知识图谱形成智能化问卷</w:t>
            </w:r>
            <w:r>
              <w:rPr>
                <w:rFonts w:asciiTheme="minorEastAsia" w:hAnsiTheme="minorEastAsia" w:cstheme="minorEastAsia"/>
                <w:sz w:val="21"/>
                <w:szCs w:val="21"/>
                <w:shd w:val="clear" w:color="auto" w:fill="FFFFFF"/>
              </w:rPr>
              <w:t>。</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2、AI智能诊断评估核心算法</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AI智能诊断评估核心算法利用平台收集的患者数据、高血压知识库、医生历史诊断结论和历史实时监测的病情数据（用药、作息、运动、血压数据等），充分结合平台大数据的深度学习分析结果，给患者诊断出专业的诊断报告，同时生成当前患者的病情的医疗处方；包括用药计划、饮食建议、规律作息、健康运动，促使患者通过规律生活、健康运动和及时用药来有效干预治疗。</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3、AI健康评估报告</w:t>
            </w:r>
          </w:p>
          <w:p>
            <w:pPr>
              <w:spacing w:line="240" w:lineRule="auto"/>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借助大数据云平台对患者的病情信息和动态血压数据，结合高血压知识库，对患者的病情进行智能动态分析，最终生成适合患者的医疗处方。</w:t>
            </w:r>
          </w:p>
          <w:p>
            <w:pPr>
              <w:spacing w:line="240" w:lineRule="auto"/>
              <w:rPr>
                <w:rFonts w:ascii="Times New Roman" w:hAnsi="Times New Roman" w:cs="Times New Roman"/>
                <w:sz w:val="21"/>
                <w:szCs w:val="21"/>
                <w:u w:val="single"/>
              </w:rPr>
            </w:pPr>
            <w:r>
              <w:rPr>
                <w:rFonts w:ascii="Times New Roman" w:hAnsi="Times New Roman" w:cs="Times New Roman"/>
                <w:sz w:val="21"/>
                <w:szCs w:val="21"/>
                <w:u w:val="single"/>
              </w:rPr>
              <w:t>【演示功能</w:t>
            </w:r>
            <w:r>
              <w:rPr>
                <w:rFonts w:hint="eastAsia" w:ascii="Times New Roman" w:hAnsi="Times New Roman" w:cs="Times New Roman"/>
                <w:sz w:val="21"/>
                <w:szCs w:val="21"/>
                <w:u w:val="single"/>
              </w:rPr>
              <w:t>2</w:t>
            </w:r>
            <w:r>
              <w:rPr>
                <w:rFonts w:ascii="Times New Roman" w:hAnsi="Times New Roman" w:cs="Times New Roman"/>
                <w:sz w:val="21"/>
                <w:szCs w:val="21"/>
                <w:u w:val="single"/>
              </w:rPr>
              <w:t>】</w:t>
            </w:r>
            <w:r>
              <w:rPr>
                <w:rFonts w:hint="eastAsia" w:ascii="Times New Roman" w:hAnsi="Times New Roman" w:cs="Times New Roman"/>
                <w:sz w:val="21"/>
                <w:szCs w:val="21"/>
                <w:u w:val="single"/>
              </w:rPr>
              <w:t>智慧诊断评估功能演示：自行获取演示数据，对智慧诊断评估功能进行演示，包括AI诊断评估能力等级管理、AI智能评估核心算法等。</w:t>
            </w:r>
          </w:p>
          <w:p>
            <w:pPr>
              <w:spacing w:line="240" w:lineRule="auto"/>
              <w:rPr>
                <w:rFonts w:ascii="Times New Roman" w:hAnsi="Times New Roman" w:cs="Times New Roman"/>
                <w:sz w:val="21"/>
                <w:szCs w:val="21"/>
                <w:u w:val="single"/>
              </w:rPr>
            </w:pPr>
            <w:r>
              <w:rPr>
                <w:rFonts w:ascii="Times New Roman" w:hAnsi="Times New Roman" w:cs="Times New Roman"/>
                <w:sz w:val="21"/>
                <w:szCs w:val="21"/>
                <w:u w:val="single"/>
              </w:rPr>
              <w:t>【演示功能</w:t>
            </w:r>
            <w:r>
              <w:rPr>
                <w:rFonts w:hint="eastAsia" w:ascii="Times New Roman" w:hAnsi="Times New Roman" w:cs="Times New Roman"/>
                <w:sz w:val="21"/>
                <w:szCs w:val="21"/>
                <w:u w:val="single"/>
              </w:rPr>
              <w:t>3</w:t>
            </w:r>
            <w:r>
              <w:rPr>
                <w:rFonts w:ascii="Times New Roman" w:hAnsi="Times New Roman" w:cs="Times New Roman"/>
                <w:sz w:val="21"/>
                <w:szCs w:val="21"/>
                <w:u w:val="single"/>
              </w:rPr>
              <w:t>】</w:t>
            </w:r>
            <w:r>
              <w:rPr>
                <w:rFonts w:hint="eastAsia" w:ascii="Times New Roman" w:hAnsi="Times New Roman" w:cs="Times New Roman"/>
                <w:sz w:val="21"/>
                <w:szCs w:val="21"/>
                <w:u w:val="single"/>
              </w:rPr>
              <w:t>智慧诊断评估演示：自行获取演示数据，对智慧诊断评估功能进行演示，包括AI健康评估报告等。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pct"/>
            <w:vMerge w:val="continue"/>
            <w:vAlign w:val="center"/>
          </w:tcPr>
          <w:p>
            <w:pPr>
              <w:spacing w:line="240" w:lineRule="auto"/>
              <w:jc w:val="center"/>
              <w:rPr>
                <w:rFonts w:ascii="Times New Roman" w:hAnsi="Times New Roman" w:cs="Times New Roman"/>
                <w:sz w:val="21"/>
                <w:szCs w:val="21"/>
              </w:rPr>
            </w:pPr>
          </w:p>
        </w:tc>
        <w:tc>
          <w:tcPr>
            <w:tcW w:w="438" w:type="pct"/>
            <w:vAlign w:val="center"/>
          </w:tcPr>
          <w:p>
            <w:pPr>
              <w:spacing w:line="240" w:lineRule="auto"/>
              <w:rPr>
                <w:rFonts w:ascii="Times New Roman" w:hAnsi="Times New Roman" w:cs="Times New Roman"/>
                <w:sz w:val="21"/>
                <w:szCs w:val="21"/>
              </w:rPr>
            </w:pPr>
            <w:r>
              <w:rPr>
                <w:rFonts w:ascii="Times New Roman" w:hAnsi="Times New Roman" w:cs="Times New Roman"/>
                <w:sz w:val="21"/>
                <w:szCs w:val="21"/>
              </w:rPr>
              <w:t>1.3</w:t>
            </w:r>
            <w:r>
              <w:rPr>
                <w:rFonts w:hint="eastAsia" w:ascii="Times New Roman" w:hAnsi="Times New Roman" w:cs="Times New Roman"/>
                <w:sz w:val="21"/>
                <w:szCs w:val="21"/>
              </w:rPr>
              <w:t>智慧互动</w:t>
            </w:r>
          </w:p>
        </w:tc>
        <w:tc>
          <w:tcPr>
            <w:tcW w:w="4121" w:type="pct"/>
            <w:vAlign w:val="center"/>
          </w:tcPr>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asciiTheme="minorEastAsia" w:hAnsiTheme="minorEastAsia" w:cstheme="minorEastAsia"/>
                <w:sz w:val="21"/>
                <w:szCs w:val="21"/>
                <w:shd w:val="clear" w:color="auto" w:fill="FFFFFF"/>
              </w:rPr>
              <w:t>1</w:t>
            </w:r>
            <w:r>
              <w:rPr>
                <w:rFonts w:hint="eastAsia" w:asciiTheme="minorEastAsia" w:hAnsiTheme="minorEastAsia" w:cstheme="minorEastAsia"/>
                <w:sz w:val="21"/>
                <w:szCs w:val="21"/>
                <w:shd w:val="clear" w:color="auto" w:fill="FFFFFF"/>
                <w:lang w:eastAsia="zh-Hans"/>
              </w:rPr>
              <w:t>.</w:t>
            </w:r>
            <w:r>
              <w:rPr>
                <w:rFonts w:hint="eastAsia" w:asciiTheme="minorEastAsia" w:hAnsiTheme="minorEastAsia" w:cstheme="minorEastAsia"/>
                <w:sz w:val="21"/>
                <w:szCs w:val="21"/>
                <w:shd w:val="clear" w:color="auto" w:fill="FFFFFF"/>
              </w:rPr>
              <w:t>患者预警功能</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根据诊断评估报告，平台自动针对患者的病情生成的患者一览及预警功能。</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asciiTheme="minorEastAsia" w:hAnsiTheme="minorEastAsia" w:cstheme="minorEastAsia"/>
                <w:sz w:val="21"/>
                <w:szCs w:val="21"/>
                <w:shd w:val="clear" w:color="auto" w:fill="FFFFFF"/>
              </w:rPr>
              <w:t>2</w:t>
            </w:r>
            <w:r>
              <w:rPr>
                <w:rFonts w:hint="eastAsia" w:asciiTheme="minorEastAsia" w:hAnsiTheme="minorEastAsia" w:cstheme="minorEastAsia"/>
                <w:sz w:val="21"/>
                <w:szCs w:val="21"/>
                <w:shd w:val="clear" w:color="auto" w:fill="FFFFFF"/>
                <w:lang w:eastAsia="zh-Hans"/>
              </w:rPr>
              <w:t>.</w:t>
            </w:r>
            <w:r>
              <w:rPr>
                <w:rFonts w:hint="eastAsia" w:asciiTheme="minorEastAsia" w:hAnsiTheme="minorEastAsia" w:cstheme="minorEastAsia"/>
                <w:sz w:val="21"/>
                <w:szCs w:val="21"/>
                <w:shd w:val="clear" w:color="auto" w:fill="FFFFFF"/>
              </w:rPr>
              <w:t>患者日常管理（饮食、运动、用药、知识普及）</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根据诊断评估报告，平台自动针对患者的病情生成的患者一览及预警功能。</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3.患者数据查询、授权</w:t>
            </w:r>
          </w:p>
          <w:p>
            <w:pPr>
              <w:spacing w:line="240" w:lineRule="auto"/>
              <w:rPr>
                <w:rFonts w:asciiTheme="minorEastAsia" w:hAnsiTheme="minorEastAsia" w:cstheme="minorEastAsia"/>
                <w:sz w:val="21"/>
                <w:szCs w:val="21"/>
                <w:shd w:val="clear" w:color="auto" w:fill="FFFFFF"/>
              </w:rPr>
            </w:pPr>
            <w:r>
              <w:rPr>
                <w:rFonts w:ascii="Times New Roman" w:hAnsi="Times New Roman" w:cs="Times New Roman"/>
                <w:sz w:val="21"/>
                <w:szCs w:val="21"/>
                <w:u w:val="single"/>
              </w:rPr>
              <w:t>【演示功能</w:t>
            </w:r>
            <w:r>
              <w:rPr>
                <w:rFonts w:hint="eastAsia" w:ascii="Times New Roman" w:hAnsi="Times New Roman" w:cs="Times New Roman"/>
                <w:sz w:val="21"/>
                <w:szCs w:val="21"/>
                <w:u w:val="single"/>
              </w:rPr>
              <w:t>4</w:t>
            </w:r>
            <w:r>
              <w:rPr>
                <w:rFonts w:ascii="Times New Roman" w:hAnsi="Times New Roman" w:cs="Times New Roman"/>
                <w:sz w:val="21"/>
                <w:szCs w:val="21"/>
                <w:u w:val="single"/>
              </w:rPr>
              <w:t>】</w:t>
            </w:r>
            <w:r>
              <w:rPr>
                <w:rFonts w:hint="eastAsia" w:ascii="Times New Roman" w:hAnsi="Times New Roman" w:cs="Times New Roman"/>
                <w:sz w:val="21"/>
                <w:szCs w:val="21"/>
                <w:u w:val="single"/>
              </w:rPr>
              <w:t>智慧互动功能演示：自行获取演示数据，对智慧互动功能进行演示，包括预警功能、日常管理、数据查询和授权等功能。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pct"/>
            <w:vMerge w:val="continue"/>
            <w:vAlign w:val="center"/>
          </w:tcPr>
          <w:p>
            <w:pPr>
              <w:spacing w:line="240" w:lineRule="auto"/>
              <w:jc w:val="center"/>
              <w:rPr>
                <w:rFonts w:ascii="Times New Roman" w:hAnsi="Times New Roman" w:cs="Times New Roman"/>
                <w:sz w:val="21"/>
                <w:szCs w:val="21"/>
              </w:rPr>
            </w:pPr>
          </w:p>
        </w:tc>
        <w:tc>
          <w:tcPr>
            <w:tcW w:w="438" w:type="pct"/>
            <w:vAlign w:val="center"/>
          </w:tcPr>
          <w:p>
            <w:pPr>
              <w:spacing w:line="240" w:lineRule="auto"/>
              <w:rPr>
                <w:rFonts w:ascii="Times New Roman" w:hAnsi="Times New Roman" w:cs="Times New Roman"/>
                <w:sz w:val="21"/>
                <w:szCs w:val="21"/>
              </w:rPr>
            </w:pPr>
            <w:r>
              <w:rPr>
                <w:rFonts w:hint="eastAsia" w:ascii="Times New Roman" w:hAnsi="Times New Roman" w:cs="Times New Roman"/>
                <w:sz w:val="21"/>
                <w:szCs w:val="21"/>
              </w:rPr>
              <w:t>1.4统计分析</w:t>
            </w:r>
          </w:p>
        </w:tc>
        <w:tc>
          <w:tcPr>
            <w:tcW w:w="4121" w:type="pct"/>
            <w:vAlign w:val="center"/>
          </w:tcPr>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asciiTheme="minorEastAsia" w:hAnsiTheme="minorEastAsia" w:cstheme="minorEastAsia"/>
                <w:sz w:val="21"/>
                <w:szCs w:val="21"/>
                <w:shd w:val="clear" w:color="auto" w:fill="FFFFFF"/>
              </w:rPr>
              <w:t>1</w:t>
            </w:r>
            <w:r>
              <w:rPr>
                <w:rFonts w:hint="eastAsia" w:asciiTheme="minorEastAsia" w:hAnsiTheme="minorEastAsia" w:cstheme="minorEastAsia"/>
                <w:sz w:val="21"/>
                <w:szCs w:val="21"/>
                <w:shd w:val="clear" w:color="auto" w:fill="FFFFFF"/>
                <w:lang w:eastAsia="zh-Hans"/>
              </w:rPr>
              <w:t>.</w:t>
            </w:r>
            <w:r>
              <w:rPr>
                <w:rFonts w:hint="eastAsia" w:asciiTheme="minorEastAsia" w:hAnsiTheme="minorEastAsia" w:cstheme="minorEastAsia"/>
                <w:sz w:val="21"/>
                <w:szCs w:val="21"/>
                <w:shd w:val="clear" w:color="auto" w:fill="FFFFFF"/>
              </w:rPr>
              <w:t>患者疾病统计</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疾病分布统计、人员疾病统计、疾病人员统计、疾病TOP统计。</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asciiTheme="minorEastAsia" w:hAnsiTheme="minorEastAsia" w:cstheme="minorEastAsia"/>
                <w:sz w:val="21"/>
                <w:szCs w:val="21"/>
                <w:shd w:val="clear" w:color="auto" w:fill="FFFFFF"/>
              </w:rPr>
              <w:t>2</w:t>
            </w:r>
            <w:r>
              <w:rPr>
                <w:rFonts w:hint="eastAsia" w:asciiTheme="minorEastAsia" w:hAnsiTheme="minorEastAsia" w:cstheme="minorEastAsia"/>
                <w:sz w:val="21"/>
                <w:szCs w:val="21"/>
                <w:shd w:val="clear" w:color="auto" w:fill="FFFFFF"/>
                <w:lang w:eastAsia="zh-Hans"/>
              </w:rPr>
              <w:t>.</w:t>
            </w:r>
            <w:r>
              <w:rPr>
                <w:rFonts w:hint="eastAsia" w:asciiTheme="minorEastAsia" w:hAnsiTheme="minorEastAsia" w:cstheme="minorEastAsia"/>
                <w:sz w:val="21"/>
                <w:szCs w:val="21"/>
                <w:shd w:val="clear" w:color="auto" w:fill="FFFFFF"/>
              </w:rPr>
              <w:t>医生工作量统计</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医生管理量、干预量等工作量的统计。</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asciiTheme="minorEastAsia" w:hAnsiTheme="minorEastAsia" w:cstheme="minorEastAsia"/>
                <w:sz w:val="21"/>
                <w:szCs w:val="21"/>
                <w:shd w:val="clear" w:color="auto" w:fill="FFFFFF"/>
              </w:rPr>
              <w:t>3</w:t>
            </w:r>
            <w:r>
              <w:rPr>
                <w:rFonts w:hint="eastAsia" w:asciiTheme="minorEastAsia" w:hAnsiTheme="minorEastAsia" w:cstheme="minorEastAsia"/>
                <w:sz w:val="21"/>
                <w:szCs w:val="21"/>
                <w:shd w:val="clear" w:color="auto" w:fill="FFFFFF"/>
                <w:lang w:eastAsia="zh-Hans"/>
              </w:rPr>
              <w:t>.</w:t>
            </w:r>
            <w:r>
              <w:rPr>
                <w:rFonts w:hint="eastAsia" w:asciiTheme="minorEastAsia" w:hAnsiTheme="minorEastAsia" w:cstheme="minorEastAsia"/>
                <w:sz w:val="21"/>
                <w:szCs w:val="21"/>
                <w:shd w:val="clear" w:color="auto" w:fill="FFFFFF"/>
              </w:rPr>
              <w:t>综合统计</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自定义综合查询条件，统计成列表可导出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pct"/>
            <w:vMerge w:val="continue"/>
            <w:vAlign w:val="center"/>
          </w:tcPr>
          <w:p>
            <w:pPr>
              <w:spacing w:line="240" w:lineRule="auto"/>
              <w:jc w:val="center"/>
              <w:rPr>
                <w:rFonts w:ascii="Times New Roman" w:hAnsi="Times New Roman" w:cs="Times New Roman"/>
                <w:sz w:val="21"/>
                <w:szCs w:val="21"/>
              </w:rPr>
            </w:pPr>
          </w:p>
        </w:tc>
        <w:tc>
          <w:tcPr>
            <w:tcW w:w="438" w:type="pct"/>
            <w:vAlign w:val="center"/>
          </w:tcPr>
          <w:p>
            <w:pPr>
              <w:spacing w:line="240" w:lineRule="auto"/>
              <w:rPr>
                <w:rFonts w:ascii="Times New Roman" w:hAnsi="Times New Roman" w:cs="Times New Roman"/>
                <w:sz w:val="21"/>
                <w:szCs w:val="21"/>
              </w:rPr>
            </w:pPr>
            <w:r>
              <w:rPr>
                <w:rFonts w:hint="eastAsia" w:ascii="Times New Roman" w:hAnsi="Times New Roman" w:cs="Times New Roman"/>
                <w:sz w:val="21"/>
                <w:szCs w:val="21"/>
              </w:rPr>
              <w:t>1.5平台登录管理</w:t>
            </w:r>
          </w:p>
        </w:tc>
        <w:tc>
          <w:tcPr>
            <w:tcW w:w="4121" w:type="pct"/>
            <w:vAlign w:val="center"/>
          </w:tcPr>
          <w:p>
            <w:pPr>
              <w:spacing w:line="240" w:lineRule="auto"/>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平台主要三种登录方式：移动端方式、智慧大屏方式、PC Web方式；用户登录后根据不同角色显示不同功能界面。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pct"/>
            <w:vMerge w:val="continue"/>
            <w:vAlign w:val="center"/>
          </w:tcPr>
          <w:p>
            <w:pPr>
              <w:spacing w:line="240" w:lineRule="auto"/>
              <w:jc w:val="center"/>
              <w:rPr>
                <w:rFonts w:ascii="Times New Roman" w:hAnsi="Times New Roman" w:cs="Times New Roman"/>
                <w:sz w:val="21"/>
                <w:szCs w:val="21"/>
              </w:rPr>
            </w:pPr>
          </w:p>
        </w:tc>
        <w:tc>
          <w:tcPr>
            <w:tcW w:w="438" w:type="pct"/>
            <w:vAlign w:val="center"/>
          </w:tcPr>
          <w:p>
            <w:pPr>
              <w:spacing w:line="240" w:lineRule="auto"/>
              <w:rPr>
                <w:rFonts w:ascii="Times New Roman" w:hAnsi="Times New Roman" w:cs="Times New Roman"/>
                <w:sz w:val="21"/>
                <w:szCs w:val="21"/>
              </w:rPr>
            </w:pPr>
            <w:r>
              <w:rPr>
                <w:rFonts w:hint="eastAsia" w:ascii="Times New Roman" w:hAnsi="Times New Roman" w:cs="Times New Roman"/>
                <w:sz w:val="21"/>
                <w:szCs w:val="21"/>
              </w:rPr>
              <w:t>1.</w:t>
            </w:r>
            <w:r>
              <w:rPr>
                <w:rFonts w:ascii="Times New Roman" w:hAnsi="Times New Roman" w:cs="Times New Roman"/>
                <w:sz w:val="21"/>
                <w:szCs w:val="21"/>
              </w:rPr>
              <w:t>6</w:t>
            </w:r>
            <w:r>
              <w:rPr>
                <w:rFonts w:hint="eastAsia" w:ascii="Times New Roman" w:hAnsi="Times New Roman" w:cs="Times New Roman"/>
                <w:sz w:val="21"/>
                <w:szCs w:val="21"/>
                <w:lang w:eastAsia="zh-Hans"/>
              </w:rPr>
              <w:t>权限管理</w:t>
            </w:r>
          </w:p>
        </w:tc>
        <w:tc>
          <w:tcPr>
            <w:tcW w:w="4121" w:type="pct"/>
            <w:vAlign w:val="center"/>
          </w:tcPr>
          <w:p>
            <w:pPr>
              <w:spacing w:line="240" w:lineRule="auto"/>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用户权限管理，包括系统管理员权限、医生权限、患者权限。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pct"/>
            <w:vMerge w:val="restart"/>
            <w:vAlign w:val="center"/>
          </w:tcPr>
          <w:p>
            <w:pPr>
              <w:spacing w:line="240" w:lineRule="auto"/>
              <w:jc w:val="center"/>
              <w:rPr>
                <w:rFonts w:ascii="Times New Roman" w:hAnsi="Times New Roman" w:cs="Times New Roman"/>
                <w:sz w:val="21"/>
                <w:szCs w:val="21"/>
              </w:rPr>
            </w:pPr>
            <w:r>
              <w:rPr>
                <w:rFonts w:ascii="Times New Roman" w:hAnsi="Times New Roman" w:cs="Times New Roman"/>
                <w:sz w:val="21"/>
                <w:szCs w:val="21"/>
              </w:rPr>
              <w:t>2</w:t>
            </w:r>
            <w:r>
              <w:rPr>
                <w:rFonts w:hint="eastAsia" w:ascii="Times New Roman" w:hAnsi="Times New Roman" w:cs="Times New Roman"/>
                <w:sz w:val="21"/>
                <w:szCs w:val="21"/>
              </w:rPr>
              <w:t>移动端</w:t>
            </w:r>
          </w:p>
        </w:tc>
        <w:tc>
          <w:tcPr>
            <w:tcW w:w="438" w:type="pct"/>
            <w:vAlign w:val="center"/>
          </w:tcPr>
          <w:p>
            <w:pPr>
              <w:spacing w:line="240" w:lineRule="auto"/>
              <w:rPr>
                <w:rFonts w:ascii="Times New Roman" w:hAnsi="Times New Roman" w:cs="Times New Roman"/>
                <w:sz w:val="21"/>
                <w:szCs w:val="21"/>
              </w:rPr>
            </w:pPr>
            <w:r>
              <w:rPr>
                <w:rFonts w:ascii="Times New Roman" w:hAnsi="Times New Roman" w:cs="Times New Roman"/>
                <w:sz w:val="21"/>
                <w:szCs w:val="21"/>
              </w:rPr>
              <w:t>2.1</w:t>
            </w:r>
            <w:r>
              <w:rPr>
                <w:rFonts w:hint="eastAsia" w:asciiTheme="minorEastAsia" w:hAnsiTheme="minorEastAsia" w:cstheme="minorEastAsia"/>
                <w:sz w:val="21"/>
                <w:szCs w:val="21"/>
                <w:shd w:val="clear" w:color="auto" w:fill="FFFFFF"/>
              </w:rPr>
              <w:t>健康概况</w:t>
            </w:r>
          </w:p>
        </w:tc>
        <w:tc>
          <w:tcPr>
            <w:tcW w:w="4121" w:type="pct"/>
            <w:vAlign w:val="center"/>
          </w:tcPr>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快速以图形化的方式展示：</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1.用户的用药执行情况；</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2.用户预警信息；</w:t>
            </w:r>
          </w:p>
          <w:p>
            <w:pPr>
              <w:pStyle w:val="10"/>
              <w:widowControl/>
              <w:spacing w:beforeAutospacing="0" w:afterAutospacing="0" w:line="400" w:lineRule="exact"/>
              <w:rPr>
                <w:rFonts w:ascii="Times New Roman" w:hAnsi="Times New Roman"/>
                <w:sz w:val="21"/>
                <w:szCs w:val="21"/>
              </w:rPr>
            </w:pPr>
            <w:r>
              <w:rPr>
                <w:rFonts w:hint="eastAsia" w:asciiTheme="minorEastAsia" w:hAnsiTheme="minorEastAsia" w:cstheme="minorEastAsia"/>
                <w:sz w:val="21"/>
                <w:szCs w:val="21"/>
                <w:shd w:val="clear" w:color="auto" w:fill="FFFFFF"/>
              </w:rPr>
              <w:t>3.健康资讯。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pct"/>
            <w:vMerge w:val="continue"/>
            <w:vAlign w:val="center"/>
          </w:tcPr>
          <w:p>
            <w:pPr>
              <w:spacing w:line="240" w:lineRule="auto"/>
              <w:jc w:val="center"/>
              <w:rPr>
                <w:rFonts w:ascii="Times New Roman" w:hAnsi="Times New Roman" w:cs="Times New Roman"/>
                <w:sz w:val="21"/>
                <w:szCs w:val="21"/>
              </w:rPr>
            </w:pPr>
          </w:p>
        </w:tc>
        <w:tc>
          <w:tcPr>
            <w:tcW w:w="438" w:type="pct"/>
            <w:vAlign w:val="center"/>
          </w:tcPr>
          <w:p>
            <w:pPr>
              <w:spacing w:line="240" w:lineRule="auto"/>
              <w:rPr>
                <w:rFonts w:ascii="Times New Roman" w:hAnsi="Times New Roman" w:cs="Times New Roman"/>
                <w:sz w:val="21"/>
                <w:szCs w:val="21"/>
              </w:rPr>
            </w:pPr>
            <w:r>
              <w:rPr>
                <w:rFonts w:ascii="Times New Roman" w:hAnsi="Times New Roman" w:cs="Times New Roman"/>
                <w:sz w:val="21"/>
                <w:szCs w:val="21"/>
              </w:rPr>
              <w:t>2.2</w:t>
            </w:r>
            <w:r>
              <w:rPr>
                <w:rFonts w:hint="eastAsia" w:asciiTheme="minorEastAsia" w:hAnsiTheme="minorEastAsia" w:cstheme="minorEastAsia"/>
                <w:sz w:val="21"/>
                <w:szCs w:val="21"/>
                <w:shd w:val="clear" w:color="auto" w:fill="FFFFFF"/>
              </w:rPr>
              <w:t>记录管理</w:t>
            </w:r>
          </w:p>
        </w:tc>
        <w:tc>
          <w:tcPr>
            <w:tcW w:w="4121" w:type="pct"/>
            <w:vAlign w:val="center"/>
          </w:tcPr>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方便用户快速查询及登记</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1.服药计划；</w:t>
            </w:r>
          </w:p>
          <w:p>
            <w:pPr>
              <w:pStyle w:val="10"/>
              <w:widowControl/>
              <w:spacing w:beforeAutospacing="0" w:afterAutospacing="0" w:line="400" w:lineRule="exact"/>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2.登记状态；</w:t>
            </w:r>
          </w:p>
          <w:p>
            <w:pPr>
              <w:spacing w:line="240" w:lineRule="auto"/>
              <w:rPr>
                <w:rFonts w:ascii="Times New Roman" w:hAnsi="Times New Roman" w:cs="Times New Roman"/>
                <w:sz w:val="21"/>
                <w:szCs w:val="21"/>
                <w:u w:val="single"/>
              </w:rPr>
            </w:pPr>
            <w:r>
              <w:rPr>
                <w:rFonts w:hint="eastAsia" w:asciiTheme="minorEastAsia" w:hAnsiTheme="minorEastAsia" w:cstheme="minorEastAsia"/>
                <w:sz w:val="21"/>
                <w:szCs w:val="21"/>
                <w:shd w:val="clear" w:color="auto" w:fill="FFFFFF"/>
              </w:rPr>
              <w:t>3.打卡；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pct"/>
            <w:vMerge w:val="continue"/>
            <w:vAlign w:val="center"/>
          </w:tcPr>
          <w:p>
            <w:pPr>
              <w:spacing w:line="240" w:lineRule="auto"/>
              <w:jc w:val="center"/>
              <w:rPr>
                <w:rFonts w:ascii="Times New Roman" w:hAnsi="Times New Roman" w:cs="Times New Roman"/>
                <w:sz w:val="21"/>
                <w:szCs w:val="21"/>
              </w:rPr>
            </w:pPr>
          </w:p>
        </w:tc>
        <w:tc>
          <w:tcPr>
            <w:tcW w:w="747" w:type="dxa"/>
            <w:vAlign w:val="center"/>
          </w:tcPr>
          <w:p>
            <w:pPr>
              <w:spacing w:line="240" w:lineRule="auto"/>
              <w:rPr>
                <w:rFonts w:ascii="Times New Roman" w:hAnsi="Times New Roman" w:cs="Times New Roman"/>
                <w:sz w:val="21"/>
                <w:szCs w:val="21"/>
              </w:rPr>
            </w:pPr>
            <w:r>
              <w:rPr>
                <w:rFonts w:ascii="Times New Roman" w:hAnsi="Times New Roman" w:cs="Times New Roman"/>
                <w:sz w:val="21"/>
                <w:szCs w:val="21"/>
              </w:rPr>
              <w:t>2.3</w:t>
            </w:r>
            <w:r>
              <w:rPr>
                <w:rFonts w:hint="eastAsia" w:asciiTheme="minorEastAsia" w:hAnsiTheme="minorEastAsia" w:cstheme="minorEastAsia"/>
                <w:sz w:val="21"/>
                <w:szCs w:val="21"/>
                <w:shd w:val="clear" w:color="auto" w:fill="FFFFFF"/>
              </w:rPr>
              <w:t>分析管理</w:t>
            </w:r>
          </w:p>
        </w:tc>
        <w:tc>
          <w:tcPr>
            <w:tcW w:w="7022" w:type="dxa"/>
            <w:vAlign w:val="center"/>
          </w:tcPr>
          <w:p>
            <w:pPr>
              <w:spacing w:line="240" w:lineRule="auto"/>
              <w:rPr>
                <w:rFonts w:asciiTheme="minorEastAsia" w:hAnsiTheme="minorEastAsia" w:cstheme="minorEastAsia"/>
                <w:sz w:val="21"/>
                <w:szCs w:val="21"/>
                <w:shd w:val="clear" w:color="auto" w:fill="FFFFFF"/>
              </w:rPr>
            </w:pPr>
            <w:r>
              <w:rPr>
                <w:rFonts w:hint="eastAsia" w:asciiTheme="minorEastAsia" w:hAnsiTheme="minorEastAsia" w:cstheme="minorEastAsia"/>
                <w:sz w:val="21"/>
                <w:szCs w:val="21"/>
                <w:shd w:val="clear" w:color="auto" w:fill="FFFFFF"/>
              </w:rPr>
              <w:t>根据收集到的患者数据，通过平台获取AI诊断报告，并生成相应建议、健康趋势。</w:t>
            </w:r>
          </w:p>
          <w:p>
            <w:pPr>
              <w:spacing w:line="240" w:lineRule="auto"/>
              <w:rPr>
                <w:rFonts w:asciiTheme="minorEastAsia" w:hAnsiTheme="minorEastAsia" w:cstheme="minorEastAsia"/>
                <w:sz w:val="21"/>
                <w:szCs w:val="21"/>
                <w:shd w:val="clear" w:color="auto" w:fill="FFFFFF"/>
              </w:rPr>
            </w:pPr>
            <w:r>
              <w:rPr>
                <w:rFonts w:ascii="Times New Roman" w:hAnsi="Times New Roman" w:cs="Times New Roman"/>
                <w:sz w:val="21"/>
                <w:szCs w:val="21"/>
                <w:u w:val="single"/>
              </w:rPr>
              <w:t>【演示功能</w:t>
            </w:r>
            <w:r>
              <w:rPr>
                <w:rFonts w:hint="eastAsia" w:ascii="Times New Roman" w:hAnsi="Times New Roman" w:cs="Times New Roman"/>
                <w:sz w:val="21"/>
                <w:szCs w:val="21"/>
                <w:u w:val="single"/>
              </w:rPr>
              <w:t>5</w:t>
            </w:r>
            <w:r>
              <w:rPr>
                <w:rFonts w:ascii="Times New Roman" w:hAnsi="Times New Roman" w:cs="Times New Roman"/>
                <w:sz w:val="21"/>
                <w:szCs w:val="21"/>
                <w:u w:val="single"/>
              </w:rPr>
              <w:t>】</w:t>
            </w:r>
            <w:r>
              <w:rPr>
                <w:rFonts w:hint="eastAsia" w:ascii="Times New Roman" w:hAnsi="Times New Roman" w:cs="Times New Roman"/>
                <w:sz w:val="21"/>
                <w:szCs w:val="21"/>
                <w:u w:val="single"/>
              </w:rPr>
              <w:t>移动端功能演示：自行获取演示数据，对移动端功能进行演示，包括健康概况、记录管理、分析管理、我的主页等功能。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pct"/>
            <w:vMerge w:val="continue"/>
            <w:vAlign w:val="center"/>
          </w:tcPr>
          <w:p>
            <w:pPr>
              <w:spacing w:line="240" w:lineRule="auto"/>
              <w:jc w:val="center"/>
              <w:rPr>
                <w:rFonts w:ascii="Times New Roman" w:hAnsi="Times New Roman" w:cs="Times New Roman"/>
                <w:sz w:val="21"/>
                <w:szCs w:val="21"/>
              </w:rPr>
            </w:pPr>
          </w:p>
        </w:tc>
        <w:tc>
          <w:tcPr>
            <w:tcW w:w="438" w:type="pct"/>
            <w:vAlign w:val="center"/>
          </w:tcPr>
          <w:p>
            <w:pPr>
              <w:spacing w:line="240" w:lineRule="auto"/>
              <w:rPr>
                <w:rFonts w:ascii="Times New Roman" w:hAnsi="Times New Roman" w:cs="Times New Roman"/>
                <w:sz w:val="21"/>
                <w:szCs w:val="21"/>
              </w:rPr>
            </w:pPr>
            <w:r>
              <w:rPr>
                <w:rFonts w:ascii="Times New Roman" w:hAnsi="Times New Roman" w:cs="Times New Roman"/>
                <w:sz w:val="21"/>
                <w:szCs w:val="21"/>
              </w:rPr>
              <w:t>2.4</w:t>
            </w:r>
            <w:r>
              <w:rPr>
                <w:rFonts w:hint="eastAsia" w:ascii="Times New Roman" w:hAnsi="Times New Roman" w:cs="Times New Roman"/>
                <w:sz w:val="21"/>
                <w:szCs w:val="21"/>
                <w:lang w:eastAsia="zh-Hans"/>
              </w:rPr>
              <w:t>我的主页</w:t>
            </w:r>
          </w:p>
        </w:tc>
        <w:tc>
          <w:tcPr>
            <w:tcW w:w="4121" w:type="pct"/>
            <w:vAlign w:val="center"/>
          </w:tcPr>
          <w:p>
            <w:pPr>
              <w:spacing w:line="240" w:lineRule="auto"/>
              <w:rPr>
                <w:rFonts w:asciiTheme="minorEastAsia" w:hAnsiTheme="minorEastAsia" w:cstheme="minorEastAsia"/>
                <w:sz w:val="21"/>
                <w:szCs w:val="21"/>
                <w:shd w:val="clear" w:color="auto" w:fill="FFFFFF"/>
                <w:lang w:eastAsia="zh-Hans"/>
              </w:rPr>
            </w:pPr>
            <w:r>
              <w:rPr>
                <w:rFonts w:hint="eastAsia" w:asciiTheme="minorEastAsia" w:hAnsiTheme="minorEastAsia" w:cstheme="minorEastAsia"/>
                <w:sz w:val="21"/>
                <w:szCs w:val="21"/>
                <w:shd w:val="clear" w:color="auto" w:fill="FFFFFF"/>
                <w:lang w:eastAsia="zh-Hans"/>
              </w:rPr>
              <w:t>体现个人资料</w:t>
            </w:r>
            <w:r>
              <w:rPr>
                <w:rFonts w:asciiTheme="minorEastAsia" w:hAnsiTheme="minorEastAsia" w:cstheme="minorEastAsia"/>
                <w:sz w:val="21"/>
                <w:szCs w:val="21"/>
                <w:shd w:val="clear" w:color="auto" w:fill="FFFFFF"/>
                <w:lang w:eastAsia="zh-Hans"/>
              </w:rPr>
              <w:t>、</w:t>
            </w:r>
            <w:r>
              <w:rPr>
                <w:rFonts w:hint="eastAsia" w:asciiTheme="minorEastAsia" w:hAnsiTheme="minorEastAsia" w:cstheme="minorEastAsia"/>
                <w:sz w:val="21"/>
                <w:szCs w:val="21"/>
                <w:shd w:val="clear" w:color="auto" w:fill="FFFFFF"/>
                <w:lang w:eastAsia="zh-Hans"/>
              </w:rPr>
              <w:t>主管医生</w:t>
            </w:r>
            <w:r>
              <w:rPr>
                <w:rFonts w:asciiTheme="minorEastAsia" w:hAnsiTheme="minorEastAsia" w:cstheme="minorEastAsia"/>
                <w:sz w:val="21"/>
                <w:szCs w:val="21"/>
                <w:shd w:val="clear" w:color="auto" w:fill="FFFFFF"/>
                <w:lang w:eastAsia="zh-Hans"/>
              </w:rPr>
              <w:t>、</w:t>
            </w:r>
            <w:r>
              <w:rPr>
                <w:rFonts w:hint="eastAsia" w:asciiTheme="minorEastAsia" w:hAnsiTheme="minorEastAsia" w:cstheme="minorEastAsia"/>
                <w:sz w:val="21"/>
                <w:szCs w:val="21"/>
                <w:shd w:val="clear" w:color="auto" w:fill="FFFFFF"/>
                <w:lang w:eastAsia="zh-Hans"/>
              </w:rPr>
              <w:t>用药计划</w:t>
            </w:r>
            <w:r>
              <w:rPr>
                <w:rFonts w:asciiTheme="minorEastAsia" w:hAnsiTheme="minorEastAsia" w:cstheme="minorEastAsia"/>
                <w:sz w:val="21"/>
                <w:szCs w:val="21"/>
                <w:shd w:val="clear" w:color="auto" w:fill="FFFFFF"/>
                <w:lang w:eastAsia="zh-Hans"/>
              </w:rPr>
              <w:t>、</w:t>
            </w:r>
            <w:r>
              <w:rPr>
                <w:rFonts w:hint="eastAsia" w:asciiTheme="minorEastAsia" w:hAnsiTheme="minorEastAsia" w:cstheme="minorEastAsia"/>
                <w:sz w:val="21"/>
                <w:szCs w:val="21"/>
                <w:shd w:val="clear" w:color="auto" w:fill="FFFFFF"/>
                <w:lang w:eastAsia="zh-Hans"/>
              </w:rPr>
              <w:t>我的血压计</w:t>
            </w:r>
            <w:r>
              <w:rPr>
                <w:rFonts w:asciiTheme="minorEastAsia" w:hAnsiTheme="minorEastAsia" w:cstheme="minorEastAsia"/>
                <w:sz w:val="21"/>
                <w:szCs w:val="21"/>
                <w:shd w:val="clear" w:color="auto" w:fill="FFFFFF"/>
                <w:lang w:eastAsia="zh-Hans"/>
              </w:rPr>
              <w:t>、</w:t>
            </w:r>
            <w:r>
              <w:rPr>
                <w:rFonts w:hint="eastAsia" w:asciiTheme="minorEastAsia" w:hAnsiTheme="minorEastAsia" w:cstheme="minorEastAsia"/>
                <w:sz w:val="21"/>
                <w:szCs w:val="21"/>
                <w:shd w:val="clear" w:color="auto" w:fill="FFFFFF"/>
                <w:lang w:eastAsia="zh-Hans"/>
              </w:rPr>
              <w:t>我的收藏等信息</w:t>
            </w:r>
            <w:r>
              <w:rPr>
                <w:rFonts w:asciiTheme="minorEastAsia" w:hAnsiTheme="minorEastAsia" w:cstheme="minorEastAsia"/>
                <w:sz w:val="21"/>
                <w:szCs w:val="21"/>
                <w:shd w:val="clear" w:color="auto" w:fill="FFFFFF"/>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pct"/>
            <w:vAlign w:val="center"/>
          </w:tcPr>
          <w:p>
            <w:pPr>
              <w:spacing w:line="240" w:lineRule="auto"/>
              <w:jc w:val="center"/>
              <w:rPr>
                <w:rFonts w:ascii="Times New Roman" w:hAnsi="Times New Roman" w:cs="Times New Roman"/>
                <w:sz w:val="21"/>
                <w:szCs w:val="21"/>
              </w:rPr>
            </w:pPr>
            <w:r>
              <w:rPr>
                <w:rFonts w:hint="eastAsia" w:ascii="Times New Roman" w:hAnsi="Times New Roman" w:cs="Times New Roman"/>
                <w:sz w:val="21"/>
                <w:szCs w:val="21"/>
              </w:rPr>
              <w:t>3</w:t>
            </w:r>
          </w:p>
        </w:tc>
        <w:tc>
          <w:tcPr>
            <w:tcW w:w="438" w:type="pct"/>
            <w:vAlign w:val="center"/>
          </w:tcPr>
          <w:p>
            <w:pPr>
              <w:spacing w:line="240" w:lineRule="auto"/>
              <w:rPr>
                <w:rFonts w:ascii="Times New Roman" w:hAnsi="Times New Roman" w:cs="Times New Roman"/>
                <w:sz w:val="21"/>
                <w:szCs w:val="21"/>
              </w:rPr>
            </w:pPr>
            <w:r>
              <w:rPr>
                <w:rFonts w:hint="eastAsia" w:asciiTheme="minorEastAsia" w:hAnsiTheme="minorEastAsia" w:cstheme="minorEastAsia"/>
                <w:sz w:val="21"/>
                <w:szCs w:val="21"/>
                <w:shd w:val="clear" w:color="auto" w:fill="FFFFFF"/>
              </w:rPr>
              <w:t>硬件设备</w:t>
            </w:r>
          </w:p>
        </w:tc>
        <w:tc>
          <w:tcPr>
            <w:tcW w:w="4121" w:type="pct"/>
            <w:vAlign w:val="center"/>
          </w:tcPr>
          <w:p>
            <w:pPr>
              <w:pStyle w:val="10"/>
              <w:widowControl/>
              <w:spacing w:beforeAutospacing="0" w:afterAutospacing="0" w:line="400" w:lineRule="exact"/>
              <w:rPr>
                <w:rFonts w:asciiTheme="minorEastAsia" w:hAnsiTheme="minorEastAsia" w:cstheme="minorEastAsia"/>
                <w:sz w:val="21"/>
                <w:szCs w:val="21"/>
                <w:shd w:val="clear" w:color="auto" w:fill="FFFFFF"/>
                <w:lang w:eastAsia="zh-Hans"/>
              </w:rPr>
            </w:pPr>
            <w:r>
              <w:rPr>
                <w:rFonts w:hint="eastAsia" w:asciiTheme="minorEastAsia" w:hAnsiTheme="minorEastAsia" w:cstheme="minorEastAsia"/>
                <w:sz w:val="21"/>
                <w:szCs w:val="21"/>
                <w:shd w:val="clear" w:color="auto" w:fill="FFFFFF"/>
              </w:rPr>
              <w:t>智能</w:t>
            </w:r>
            <w:r>
              <w:rPr>
                <w:rFonts w:hint="eastAsia" w:asciiTheme="minorEastAsia" w:hAnsiTheme="minorEastAsia" w:cstheme="minorEastAsia"/>
                <w:sz w:val="21"/>
                <w:szCs w:val="21"/>
                <w:shd w:val="clear" w:color="auto" w:fill="FFFFFF"/>
                <w:lang w:eastAsia="zh-Hans"/>
              </w:rPr>
              <w:t>终端</w:t>
            </w:r>
            <w:r>
              <w:rPr>
                <w:rFonts w:asciiTheme="minorEastAsia" w:hAnsiTheme="minorEastAsia" w:cstheme="minorEastAsia"/>
                <w:sz w:val="21"/>
                <w:szCs w:val="21"/>
                <w:shd w:val="clear" w:color="auto" w:fill="FFFFFF"/>
                <w:lang w:eastAsia="zh-Hans"/>
              </w:rPr>
              <w:t>1</w:t>
            </w:r>
            <w:r>
              <w:rPr>
                <w:rFonts w:hint="eastAsia" w:asciiTheme="minorEastAsia" w:hAnsiTheme="minorEastAsia" w:cstheme="minorEastAsia"/>
                <w:sz w:val="21"/>
                <w:szCs w:val="21"/>
                <w:shd w:val="clear" w:color="auto" w:fill="FFFFFF"/>
                <w:lang w:eastAsia="zh-Hans"/>
              </w:rPr>
              <w:t>台</w:t>
            </w:r>
            <w:r>
              <w:rPr>
                <w:rFonts w:hint="eastAsia" w:asciiTheme="minorEastAsia" w:hAnsiTheme="minorEastAsia" w:cstheme="minorEastAsia"/>
                <w:sz w:val="21"/>
                <w:szCs w:val="21"/>
                <w:shd w:val="clear" w:color="auto" w:fill="FFFFFF"/>
              </w:rPr>
              <w:t>；Android操作系统，CPU主频不低于2.0GHz，内存不低于4GB，机身存储不低于64GB，支持MicroSD(TF)，主屏幕尺寸不低于6.3英寸，75寸以上数字屏幕</w:t>
            </w:r>
          </w:p>
        </w:tc>
      </w:tr>
    </w:tbl>
    <w:p>
      <w:pPr>
        <w:pStyle w:val="4"/>
        <w:rPr>
          <w:rFonts w:ascii="Times New Roman" w:hAnsi="Times New Roman" w:cs="Times New Roman"/>
        </w:rPr>
      </w:pPr>
      <w:r>
        <w:rPr>
          <w:rFonts w:ascii="Times New Roman" w:hAnsi="Times New Roman" w:cs="Times New Roman"/>
        </w:rPr>
        <w:t>技术需求</w:t>
      </w:r>
    </w:p>
    <w:p>
      <w:pPr>
        <w:pStyle w:val="5"/>
        <w:rPr>
          <w:rFonts w:ascii="Times New Roman" w:hAnsi="Times New Roman" w:cs="Times New Roman"/>
        </w:rPr>
      </w:pPr>
      <w:r>
        <w:rPr>
          <w:rFonts w:ascii="Times New Roman" w:hAnsi="Times New Roman" w:cs="Times New Roman"/>
        </w:rPr>
        <w:t>系统架构需求</w:t>
      </w:r>
    </w:p>
    <w:p>
      <w:pPr>
        <w:ind w:firstLine="420"/>
        <w:rPr>
          <w:rFonts w:ascii="Times New Roman" w:hAnsi="Times New Roman" w:cs="Times New Roman"/>
        </w:rPr>
      </w:pPr>
      <w:r>
        <w:rPr>
          <w:rFonts w:ascii="Times New Roman" w:hAnsi="Times New Roman" w:cs="Times New Roman"/>
        </w:rPr>
        <w:t>系统有科学合理的架构体系，确保系统能够持续稳定运行。</w:t>
      </w:r>
    </w:p>
    <w:p>
      <w:pPr>
        <w:ind w:firstLine="420"/>
        <w:rPr>
          <w:rFonts w:ascii="Times New Roman" w:hAnsi="Times New Roman" w:cs="Times New Roman"/>
        </w:rPr>
      </w:pPr>
      <w:r>
        <w:rPr>
          <w:rFonts w:ascii="Times New Roman" w:hAnsi="Times New Roman" w:cs="Times New Roman"/>
        </w:rPr>
        <w:t>1、整体架构</w:t>
      </w:r>
    </w:p>
    <w:p>
      <w:pPr>
        <w:ind w:firstLine="420"/>
        <w:rPr>
          <w:rFonts w:ascii="Times New Roman" w:hAnsi="Times New Roman" w:cs="Times New Roman"/>
        </w:rPr>
      </w:pPr>
      <w:r>
        <w:rPr>
          <w:rFonts w:ascii="Times New Roman" w:hAnsi="Times New Roman" w:cs="Times New Roman"/>
        </w:rPr>
        <w:t>系统整体架构符合工信部和教育部相关标准，符合我校数字化校园设计方案，符合信息系统安全标准，符合信息系统质量管理体系要求。</w:t>
      </w:r>
    </w:p>
    <w:p>
      <w:pPr>
        <w:ind w:firstLine="420"/>
        <w:rPr>
          <w:rFonts w:ascii="Times New Roman" w:hAnsi="Times New Roman" w:cs="Times New Roman"/>
        </w:rPr>
      </w:pPr>
      <w:r>
        <w:rPr>
          <w:rFonts w:ascii="Times New Roman" w:hAnsi="Times New Roman" w:cs="Times New Roman"/>
        </w:rPr>
        <w:t>系统具备清晰合理的分层结构，包括平台层、数据层、支撑层、功能层、客户端层。</w:t>
      </w:r>
    </w:p>
    <w:p>
      <w:pPr>
        <w:ind w:firstLine="420"/>
        <w:rPr>
          <w:rFonts w:ascii="Times New Roman" w:hAnsi="Times New Roman" w:cs="Times New Roman"/>
        </w:rPr>
      </w:pPr>
      <w:r>
        <w:rPr>
          <w:rFonts w:ascii="Times New Roman" w:hAnsi="Times New Roman" w:cs="Times New Roman"/>
        </w:rPr>
        <w:t>2、技术架构</w:t>
      </w:r>
    </w:p>
    <w:p>
      <w:pPr>
        <w:ind w:firstLine="420"/>
        <w:rPr>
          <w:rFonts w:ascii="Times New Roman" w:hAnsi="Times New Roman" w:cs="Times New Roman"/>
        </w:rPr>
      </w:pPr>
      <w:r>
        <w:rPr>
          <w:rFonts w:ascii="Times New Roman" w:hAnsi="Times New Roman" w:cs="Times New Roman"/>
        </w:rPr>
        <w:t>系统开发技术及运行环境符合以下要求。</w:t>
      </w:r>
    </w:p>
    <w:tbl>
      <w:tblPr>
        <w:tblStyle w:val="1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5"/>
        <w:gridCol w:w="3275"/>
        <w:gridCol w:w="9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8" w:type="pct"/>
          </w:tcPr>
          <w:p>
            <w:pPr>
              <w:spacing w:line="276" w:lineRule="auto"/>
              <w:jc w:val="center"/>
              <w:rPr>
                <w:rFonts w:ascii="Times New Roman" w:hAnsi="Times New Roman" w:cs="Times New Roman"/>
                <w:b/>
                <w:sz w:val="21"/>
                <w:szCs w:val="21"/>
              </w:rPr>
            </w:pPr>
            <w:r>
              <w:rPr>
                <w:rFonts w:ascii="Times New Roman" w:hAnsi="Times New Roman" w:cs="Times New Roman"/>
                <w:b/>
                <w:sz w:val="21"/>
                <w:szCs w:val="21"/>
              </w:rPr>
              <w:t>序号</w:t>
            </w:r>
          </w:p>
        </w:tc>
        <w:tc>
          <w:tcPr>
            <w:tcW w:w="1155" w:type="pct"/>
          </w:tcPr>
          <w:p>
            <w:pPr>
              <w:spacing w:line="276" w:lineRule="auto"/>
              <w:jc w:val="center"/>
              <w:rPr>
                <w:rFonts w:ascii="Times New Roman" w:hAnsi="Times New Roman" w:cs="Times New Roman"/>
                <w:b/>
                <w:sz w:val="21"/>
                <w:szCs w:val="21"/>
              </w:rPr>
            </w:pPr>
            <w:r>
              <w:rPr>
                <w:rFonts w:ascii="Times New Roman" w:hAnsi="Times New Roman" w:cs="Times New Roman"/>
                <w:b/>
                <w:sz w:val="21"/>
                <w:szCs w:val="21"/>
              </w:rPr>
              <w:t>项目</w:t>
            </w:r>
          </w:p>
        </w:tc>
        <w:tc>
          <w:tcPr>
            <w:tcW w:w="3365" w:type="pct"/>
          </w:tcPr>
          <w:p>
            <w:pPr>
              <w:spacing w:line="276" w:lineRule="auto"/>
              <w:jc w:val="center"/>
              <w:rPr>
                <w:rFonts w:ascii="Times New Roman" w:hAnsi="Times New Roman" w:cs="Times New Roman"/>
                <w:b/>
                <w:sz w:val="21"/>
                <w:szCs w:val="21"/>
              </w:rPr>
            </w:pPr>
            <w:r>
              <w:rPr>
                <w:rFonts w:ascii="Times New Roman" w:hAnsi="Times New Roman" w:cs="Times New Roman"/>
                <w:b/>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8" w:type="pct"/>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155" w:type="pct"/>
          </w:tcPr>
          <w:p>
            <w:pPr>
              <w:spacing w:line="276" w:lineRule="auto"/>
              <w:rPr>
                <w:rFonts w:ascii="Times New Roman" w:hAnsi="Times New Roman" w:cs="Times New Roman"/>
                <w:sz w:val="21"/>
                <w:szCs w:val="21"/>
              </w:rPr>
            </w:pPr>
            <w:r>
              <w:rPr>
                <w:rFonts w:ascii="Times New Roman" w:hAnsi="Times New Roman" w:cs="Times New Roman"/>
                <w:sz w:val="21"/>
                <w:szCs w:val="21"/>
              </w:rPr>
              <w:t>服务器操作系统</w:t>
            </w:r>
          </w:p>
        </w:tc>
        <w:tc>
          <w:tcPr>
            <w:tcW w:w="3365" w:type="pct"/>
          </w:tcPr>
          <w:p>
            <w:pPr>
              <w:spacing w:line="276" w:lineRule="auto"/>
              <w:rPr>
                <w:rFonts w:ascii="Times New Roman" w:hAnsi="Times New Roman" w:cs="Times New Roman"/>
                <w:sz w:val="21"/>
                <w:szCs w:val="21"/>
              </w:rPr>
            </w:pPr>
            <w:r>
              <w:rPr>
                <w:rFonts w:ascii="Times New Roman" w:hAnsi="Times New Roman" w:cs="Times New Roman"/>
                <w:sz w:val="21"/>
                <w:szCs w:val="21"/>
              </w:rPr>
              <w:t>Windows或Linux操作系统。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8" w:type="pct"/>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155" w:type="pct"/>
          </w:tcPr>
          <w:p>
            <w:pPr>
              <w:spacing w:line="276" w:lineRule="auto"/>
              <w:rPr>
                <w:rFonts w:ascii="Times New Roman" w:hAnsi="Times New Roman" w:cs="Times New Roman"/>
                <w:sz w:val="21"/>
                <w:szCs w:val="21"/>
              </w:rPr>
            </w:pPr>
            <w:r>
              <w:rPr>
                <w:rFonts w:ascii="Times New Roman" w:hAnsi="Times New Roman" w:cs="Times New Roman"/>
                <w:sz w:val="21"/>
                <w:szCs w:val="21"/>
              </w:rPr>
              <w:t>总体技术要求</w:t>
            </w:r>
          </w:p>
        </w:tc>
        <w:tc>
          <w:tcPr>
            <w:tcW w:w="3365" w:type="pct"/>
          </w:tcPr>
          <w:p>
            <w:pPr>
              <w:spacing w:line="276" w:lineRule="auto"/>
              <w:rPr>
                <w:rFonts w:ascii="Times New Roman" w:hAnsi="Times New Roman" w:cs="Times New Roman"/>
                <w:sz w:val="21"/>
                <w:szCs w:val="21"/>
              </w:rPr>
            </w:pPr>
            <w:r>
              <w:rPr>
                <w:rFonts w:ascii="Times New Roman" w:hAnsi="Times New Roman" w:cs="Times New Roman"/>
                <w:sz w:val="21"/>
                <w:szCs w:val="21"/>
              </w:rPr>
              <w:t>系统为B/S架构，符合JavaEE标准，使用Java语言开发。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8" w:type="pct"/>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155" w:type="pct"/>
          </w:tcPr>
          <w:p>
            <w:pPr>
              <w:spacing w:line="276" w:lineRule="auto"/>
              <w:rPr>
                <w:rFonts w:ascii="Times New Roman" w:hAnsi="Times New Roman" w:cs="Times New Roman"/>
                <w:sz w:val="21"/>
                <w:szCs w:val="21"/>
              </w:rPr>
            </w:pPr>
            <w:r>
              <w:rPr>
                <w:rFonts w:ascii="Times New Roman" w:hAnsi="Times New Roman" w:cs="Times New Roman"/>
                <w:sz w:val="21"/>
                <w:szCs w:val="21"/>
              </w:rPr>
              <w:t>开发平台</w:t>
            </w:r>
          </w:p>
        </w:tc>
        <w:tc>
          <w:tcPr>
            <w:tcW w:w="3365" w:type="pct"/>
          </w:tcPr>
          <w:p>
            <w:pPr>
              <w:spacing w:line="276" w:lineRule="auto"/>
              <w:rPr>
                <w:rFonts w:ascii="Times New Roman" w:hAnsi="Times New Roman" w:cs="Times New Roman"/>
                <w:sz w:val="21"/>
                <w:szCs w:val="21"/>
              </w:rPr>
            </w:pPr>
            <w:r>
              <w:rPr>
                <w:rFonts w:ascii="Times New Roman" w:hAnsi="Times New Roman" w:cs="Times New Roman"/>
                <w:sz w:val="21"/>
                <w:szCs w:val="21"/>
              </w:rPr>
              <w:t>供应商自主研发的成熟的企业级软件开发平台。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8" w:type="pct"/>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1155" w:type="pct"/>
          </w:tcPr>
          <w:p>
            <w:pPr>
              <w:spacing w:line="276" w:lineRule="auto"/>
              <w:rPr>
                <w:rFonts w:ascii="Times New Roman" w:hAnsi="Times New Roman" w:cs="Times New Roman"/>
                <w:sz w:val="21"/>
                <w:szCs w:val="21"/>
              </w:rPr>
            </w:pPr>
            <w:r>
              <w:rPr>
                <w:rFonts w:ascii="Times New Roman" w:hAnsi="Times New Roman" w:cs="Times New Roman"/>
                <w:sz w:val="21"/>
                <w:szCs w:val="21"/>
              </w:rPr>
              <w:t>数据库管理系统</w:t>
            </w:r>
          </w:p>
        </w:tc>
        <w:tc>
          <w:tcPr>
            <w:tcW w:w="3365" w:type="pct"/>
          </w:tcPr>
          <w:p>
            <w:pPr>
              <w:spacing w:line="276" w:lineRule="auto"/>
              <w:rPr>
                <w:rFonts w:ascii="Times New Roman" w:hAnsi="Times New Roman" w:cs="Times New Roman"/>
                <w:sz w:val="21"/>
                <w:szCs w:val="21"/>
              </w:rPr>
            </w:pPr>
            <w:r>
              <w:rPr>
                <w:rFonts w:ascii="Times New Roman" w:hAnsi="Times New Roman" w:cs="Times New Roman"/>
                <w:sz w:val="21"/>
                <w:szCs w:val="21"/>
              </w:rPr>
              <w:t>MySQL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8" w:type="pct"/>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5</w:t>
            </w:r>
          </w:p>
        </w:tc>
        <w:tc>
          <w:tcPr>
            <w:tcW w:w="1155" w:type="pct"/>
          </w:tcPr>
          <w:p>
            <w:pPr>
              <w:spacing w:line="276" w:lineRule="auto"/>
              <w:rPr>
                <w:rFonts w:ascii="Times New Roman" w:hAnsi="Times New Roman" w:cs="Times New Roman"/>
                <w:sz w:val="21"/>
                <w:szCs w:val="21"/>
              </w:rPr>
            </w:pPr>
            <w:r>
              <w:rPr>
                <w:rFonts w:ascii="Times New Roman" w:hAnsi="Times New Roman" w:cs="Times New Roman"/>
                <w:sz w:val="21"/>
                <w:szCs w:val="21"/>
              </w:rPr>
              <w:t>应用容器</w:t>
            </w:r>
          </w:p>
        </w:tc>
        <w:tc>
          <w:tcPr>
            <w:tcW w:w="3365" w:type="pct"/>
          </w:tcPr>
          <w:p>
            <w:pPr>
              <w:spacing w:line="276" w:lineRule="auto"/>
              <w:rPr>
                <w:rFonts w:ascii="Times New Roman" w:hAnsi="Times New Roman" w:cs="Times New Roman"/>
                <w:sz w:val="21"/>
                <w:szCs w:val="21"/>
              </w:rPr>
            </w:pPr>
            <w:r>
              <w:rPr>
                <w:rFonts w:ascii="Times New Roman" w:hAnsi="Times New Roman" w:cs="Times New Roman"/>
                <w:sz w:val="21"/>
                <w:szCs w:val="21"/>
              </w:rPr>
              <w:t>Apache Tomcat Server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8" w:type="pct"/>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1155" w:type="pct"/>
          </w:tcPr>
          <w:p>
            <w:pPr>
              <w:spacing w:line="276" w:lineRule="auto"/>
              <w:rPr>
                <w:rFonts w:ascii="Times New Roman" w:hAnsi="Times New Roman" w:cs="Times New Roman"/>
                <w:sz w:val="21"/>
                <w:szCs w:val="21"/>
              </w:rPr>
            </w:pPr>
            <w:r>
              <w:rPr>
                <w:rFonts w:ascii="Times New Roman" w:hAnsi="Times New Roman" w:cs="Times New Roman"/>
                <w:sz w:val="21"/>
                <w:szCs w:val="21"/>
              </w:rPr>
              <w:t>浏览器</w:t>
            </w:r>
          </w:p>
        </w:tc>
        <w:tc>
          <w:tcPr>
            <w:tcW w:w="3365" w:type="pct"/>
          </w:tcPr>
          <w:p>
            <w:pPr>
              <w:spacing w:line="276" w:lineRule="auto"/>
              <w:rPr>
                <w:rFonts w:ascii="Times New Roman" w:hAnsi="Times New Roman" w:cs="Times New Roman"/>
                <w:sz w:val="21"/>
                <w:szCs w:val="21"/>
              </w:rPr>
            </w:pPr>
            <w:r>
              <w:rPr>
                <w:rFonts w:ascii="Times New Roman" w:hAnsi="Times New Roman" w:cs="Times New Roman"/>
                <w:sz w:val="21"/>
                <w:szCs w:val="21"/>
              </w:rPr>
              <w:t>谷歌浏览器、IE浏览器、360浏览器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8" w:type="pct"/>
          </w:tcPr>
          <w:p>
            <w:pPr>
              <w:spacing w:line="276" w:lineRule="auto"/>
              <w:jc w:val="center"/>
              <w:rPr>
                <w:rFonts w:ascii="Times New Roman" w:hAnsi="Times New Roman" w:cs="Times New Roman"/>
                <w:sz w:val="21"/>
                <w:szCs w:val="21"/>
              </w:rPr>
            </w:pPr>
            <w:r>
              <w:rPr>
                <w:rFonts w:ascii="Times New Roman" w:hAnsi="Times New Roman" w:cs="Times New Roman"/>
                <w:sz w:val="21"/>
                <w:szCs w:val="21"/>
              </w:rPr>
              <w:t>7</w:t>
            </w:r>
          </w:p>
        </w:tc>
        <w:tc>
          <w:tcPr>
            <w:tcW w:w="1155" w:type="pct"/>
          </w:tcPr>
          <w:p>
            <w:pPr>
              <w:spacing w:line="276" w:lineRule="auto"/>
              <w:rPr>
                <w:rFonts w:ascii="Times New Roman" w:hAnsi="Times New Roman" w:cs="Times New Roman"/>
                <w:sz w:val="21"/>
                <w:szCs w:val="21"/>
              </w:rPr>
            </w:pPr>
            <w:r>
              <w:rPr>
                <w:rFonts w:ascii="Times New Roman" w:hAnsi="Times New Roman" w:cs="Times New Roman"/>
                <w:sz w:val="21"/>
                <w:szCs w:val="21"/>
              </w:rPr>
              <w:t>网络协议</w:t>
            </w:r>
          </w:p>
        </w:tc>
        <w:tc>
          <w:tcPr>
            <w:tcW w:w="3365" w:type="pct"/>
          </w:tcPr>
          <w:p>
            <w:pPr>
              <w:spacing w:line="276" w:lineRule="auto"/>
              <w:rPr>
                <w:rFonts w:ascii="Times New Roman" w:hAnsi="Times New Roman" w:cs="Times New Roman"/>
                <w:sz w:val="21"/>
                <w:szCs w:val="21"/>
              </w:rPr>
            </w:pPr>
            <w:r>
              <w:rPr>
                <w:rFonts w:ascii="Times New Roman" w:hAnsi="Times New Roman" w:cs="Times New Roman"/>
                <w:sz w:val="21"/>
                <w:szCs w:val="21"/>
              </w:rPr>
              <w:t>Https</w:t>
            </w:r>
          </w:p>
        </w:tc>
      </w:tr>
    </w:tbl>
    <w:p>
      <w:pPr>
        <w:ind w:firstLine="420"/>
        <w:rPr>
          <w:rFonts w:ascii="Times New Roman" w:hAnsi="Times New Roman" w:cs="Times New Roman"/>
        </w:rPr>
      </w:pPr>
      <w:r>
        <w:rPr>
          <w:rFonts w:ascii="Times New Roman" w:hAnsi="Times New Roman" w:cs="Times New Roman"/>
        </w:rPr>
        <w:t>系统基于供应商自主研发的成熟的企业级软件开发平台开发而成，开发平台符合JavaEE架构标准，具有清晰合理的架构。</w:t>
      </w:r>
    </w:p>
    <w:p>
      <w:pPr>
        <w:ind w:firstLine="420"/>
        <w:rPr>
          <w:rFonts w:ascii="Times New Roman" w:hAnsi="Times New Roman" w:cs="Times New Roman"/>
        </w:rPr>
      </w:pPr>
      <w:r>
        <w:rPr>
          <w:rFonts w:ascii="Times New Roman" w:hAnsi="Times New Roman" w:cs="Times New Roman"/>
        </w:rPr>
        <w:t>3、部署架构</w:t>
      </w:r>
    </w:p>
    <w:p>
      <w:pPr>
        <w:ind w:firstLine="420"/>
        <w:rPr>
          <w:rFonts w:ascii="Times New Roman" w:hAnsi="Times New Roman" w:cs="Times New Roman"/>
        </w:rPr>
      </w:pPr>
      <w:r>
        <w:rPr>
          <w:rFonts w:ascii="Times New Roman" w:hAnsi="Times New Roman" w:cs="Times New Roman"/>
        </w:rPr>
        <w:t>系统部署于我校机房内，供应商应提供清晰合理的网络部署架构，包括各类服务器构成，各类用户的分布等。</w:t>
      </w:r>
    </w:p>
    <w:p>
      <w:pPr>
        <w:pStyle w:val="5"/>
        <w:rPr>
          <w:rFonts w:ascii="Times New Roman" w:hAnsi="Times New Roman" w:cs="Times New Roman"/>
        </w:rPr>
      </w:pPr>
      <w:r>
        <w:rPr>
          <w:rFonts w:ascii="Times New Roman" w:hAnsi="Times New Roman" w:cs="Times New Roman"/>
        </w:rPr>
        <w:t>系统安全需求</w:t>
      </w:r>
    </w:p>
    <w:p>
      <w:pPr>
        <w:ind w:firstLine="420"/>
        <w:rPr>
          <w:rFonts w:ascii="Times New Roman" w:hAnsi="Times New Roman" w:cs="Times New Roman"/>
        </w:rPr>
      </w:pPr>
      <w:r>
        <w:rPr>
          <w:rFonts w:ascii="Times New Roman" w:hAnsi="Times New Roman" w:cs="Times New Roman"/>
        </w:rPr>
        <w:t>1、系统应具备完善的安全防护体系，能够从行为安全、数据安全、运行安全、管理安全4个维度对系统进行全面防护。</w:t>
      </w:r>
    </w:p>
    <w:p>
      <w:pPr>
        <w:ind w:firstLine="420"/>
        <w:rPr>
          <w:rFonts w:ascii="Times New Roman" w:hAnsi="Times New Roman" w:cs="Times New Roman"/>
        </w:rPr>
      </w:pPr>
      <w:r>
        <w:rPr>
          <w:rFonts w:ascii="Times New Roman" w:hAnsi="Times New Roman" w:cs="Times New Roman"/>
        </w:rPr>
        <w:t>2、系统需符合国家信息系统安全等级保护（</w:t>
      </w:r>
      <w:r>
        <w:rPr>
          <w:rFonts w:hint="eastAsia" w:ascii="Times New Roman" w:hAnsi="Times New Roman" w:cs="Times New Roman"/>
        </w:rPr>
        <w:t>三级</w:t>
      </w:r>
      <w:r>
        <w:rPr>
          <w:rFonts w:ascii="Times New Roman" w:hAnsi="Times New Roman" w:cs="Times New Roman"/>
        </w:rPr>
        <w:t>）要求，配合学校各类网络信息安全检查，根据检查结果及时对系统进行升级。</w:t>
      </w:r>
    </w:p>
    <w:p>
      <w:pPr>
        <w:pStyle w:val="5"/>
        <w:rPr>
          <w:rFonts w:ascii="Times New Roman" w:hAnsi="Times New Roman" w:cs="Times New Roman"/>
        </w:rPr>
      </w:pPr>
      <w:r>
        <w:rPr>
          <w:rFonts w:ascii="Times New Roman" w:hAnsi="Times New Roman" w:cs="Times New Roman"/>
        </w:rPr>
        <w:t>系统性能需求</w:t>
      </w:r>
    </w:p>
    <w:p>
      <w:pPr>
        <w:numPr>
          <w:ilvl w:val="0"/>
          <w:numId w:val="5"/>
        </w:numPr>
        <w:ind w:firstLine="420"/>
        <w:rPr>
          <w:rFonts w:asciiTheme="minorEastAsia" w:hAnsiTheme="minorEastAsia" w:cstheme="minorEastAsia"/>
          <w:kern w:val="0"/>
          <w:szCs w:val="21"/>
        </w:rPr>
      </w:pPr>
      <w:r>
        <w:rPr>
          <w:rFonts w:hint="eastAsia" w:asciiTheme="minorEastAsia" w:hAnsiTheme="minorEastAsia" w:cstheme="minorEastAsia"/>
          <w:kern w:val="0"/>
          <w:szCs w:val="21"/>
        </w:rPr>
        <w:t>所建系统要能够在大规模用户的访问的情况下仍然能够提供高速运行的服务。</w:t>
      </w:r>
    </w:p>
    <w:p>
      <w:pPr>
        <w:numPr>
          <w:ilvl w:val="0"/>
          <w:numId w:val="5"/>
        </w:numPr>
        <w:ind w:firstLine="420"/>
        <w:rPr>
          <w:rFonts w:ascii="Times New Roman" w:hAnsi="Times New Roman" w:cs="Times New Roman"/>
        </w:rPr>
      </w:pPr>
      <w:r>
        <w:rPr>
          <w:rFonts w:ascii="Times New Roman" w:hAnsi="Times New Roman" w:cs="Times New Roman"/>
        </w:rPr>
        <w:t>系统普通业务操作响应时间不超过1秒，复杂业务操作响应时间不超过3秒。</w:t>
      </w:r>
    </w:p>
    <w:p>
      <w:pPr>
        <w:pStyle w:val="4"/>
        <w:rPr>
          <w:rFonts w:ascii="Times New Roman" w:hAnsi="Times New Roman" w:cs="Times New Roman"/>
        </w:rPr>
      </w:pPr>
      <w:r>
        <w:rPr>
          <w:rFonts w:ascii="Times New Roman" w:hAnsi="Times New Roman" w:cs="Times New Roman"/>
        </w:rPr>
        <w:t>项目实施要求</w:t>
      </w:r>
    </w:p>
    <w:p>
      <w:pPr>
        <w:ind w:firstLine="420"/>
        <w:rPr>
          <w:rFonts w:ascii="Times New Roman" w:hAnsi="Times New Roman" w:cs="Times New Roman"/>
        </w:rPr>
      </w:pPr>
      <w:r>
        <w:rPr>
          <w:rFonts w:ascii="Times New Roman" w:hAnsi="Times New Roman" w:cs="Times New Roman"/>
        </w:rPr>
        <w:t>为确保项目建设工作能够保质保量的完成，供应商应提供科学合理的项目实施方案，实施方案应包含：项目规划、项目实施管理规范、项目团队成员及职责、项目实施方案、项目验收方案。</w:t>
      </w:r>
    </w:p>
    <w:p>
      <w:pPr>
        <w:pStyle w:val="4"/>
        <w:ind w:left="0" w:firstLine="0"/>
        <w:rPr>
          <w:rFonts w:ascii="Times New Roman" w:hAnsi="Times New Roman" w:cs="Times New Roman"/>
        </w:rPr>
      </w:pPr>
      <w:r>
        <w:rPr>
          <w:rFonts w:ascii="Times New Roman" w:hAnsi="Times New Roman" w:cs="Times New Roman"/>
        </w:rPr>
        <w:t>项目培训要求</w:t>
      </w:r>
    </w:p>
    <w:p>
      <w:pPr>
        <w:ind w:firstLine="420"/>
        <w:rPr>
          <w:rFonts w:ascii="Times New Roman" w:hAnsi="Times New Roman" w:cs="Times New Roman"/>
        </w:rPr>
      </w:pPr>
      <w:r>
        <w:rPr>
          <w:rFonts w:ascii="Times New Roman" w:hAnsi="Times New Roman" w:cs="Times New Roman"/>
        </w:rPr>
        <w:t>为确保系统上线后学校相关人员能够快速掌握系统的功能操作，供应商应提供完善的培训方案，培训方案应包含：各类用户培训内容、培训计划及培训人员、培训流程、培训环境、培训方式、培训效果评估。系统上线后供应商提供1次现场集中培训。</w:t>
      </w:r>
    </w:p>
    <w:p>
      <w:pPr>
        <w:pStyle w:val="6"/>
        <w:rPr>
          <w:rFonts w:hint="default"/>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隶书">
    <w:altName w:val="微软雅黑"/>
    <w:panose1 w:val="02010509060101010101"/>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7E1F6C"/>
    <w:multiLevelType w:val="singleLevel"/>
    <w:tmpl w:val="897E1F6C"/>
    <w:lvl w:ilvl="0" w:tentative="0">
      <w:start w:val="1"/>
      <w:numFmt w:val="decimal"/>
      <w:suff w:val="nothing"/>
      <w:lvlText w:val="%1、"/>
      <w:lvlJc w:val="left"/>
    </w:lvl>
  </w:abstractNum>
  <w:abstractNum w:abstractNumId="1">
    <w:nsid w:val="03631AF1"/>
    <w:multiLevelType w:val="multilevel"/>
    <w:tmpl w:val="03631AF1"/>
    <w:lvl w:ilvl="0" w:tentative="0">
      <w:start w:val="1"/>
      <w:numFmt w:val="decimal"/>
      <w:pStyle w:val="36"/>
      <w:lvlText w:val="%1)"/>
      <w:lvlJc w:val="left"/>
      <w:pPr>
        <w:ind w:left="1050" w:hanging="420"/>
      </w:p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abstractNum w:abstractNumId="2">
    <w:nsid w:val="470546D1"/>
    <w:multiLevelType w:val="multilevel"/>
    <w:tmpl w:val="470546D1"/>
    <w:lvl w:ilvl="0" w:tentative="0">
      <w:start w:val="1"/>
      <w:numFmt w:val="decimal"/>
      <w:pStyle w:val="32"/>
      <w:lvlText w:val="%1"/>
      <w:lvlJc w:val="left"/>
      <w:pPr>
        <w:ind w:left="425" w:hanging="425"/>
      </w:pPr>
      <w:rPr>
        <w:rFonts w:hint="eastAsia"/>
      </w:rPr>
    </w:lvl>
    <w:lvl w:ilvl="1" w:tentative="0">
      <w:start w:val="1"/>
      <w:numFmt w:val="decimal"/>
      <w:pStyle w:val="33"/>
      <w:lvlText w:val="%1.%2"/>
      <w:lvlJc w:val="left"/>
      <w:pPr>
        <w:ind w:left="992" w:hanging="567"/>
      </w:pPr>
      <w:rPr>
        <w:rFonts w:hint="eastAsia"/>
      </w:rPr>
    </w:lvl>
    <w:lvl w:ilvl="2" w:tentative="0">
      <w:start w:val="1"/>
      <w:numFmt w:val="decimal"/>
      <w:lvlText w:val="%1.%2.%3"/>
      <w:lvlJc w:val="left"/>
      <w:pPr>
        <w:ind w:left="1418" w:hanging="567"/>
      </w:pPr>
      <w:rPr>
        <w:rFonts w:hint="default" w:ascii="微软雅黑" w:hAnsi="微软雅黑" w:eastAsia="微软雅黑" w:cs="Times New Roman"/>
        <w:b/>
        <w:bCs w:val="0"/>
        <w:i w:val="0"/>
        <w:iCs w:val="0"/>
        <w:caps w:val="0"/>
        <w:smallCaps w:val="0"/>
        <w:strike w:val="0"/>
        <w:dstrike w:val="0"/>
        <w:outline w:val="0"/>
        <w:shadow w:val="0"/>
        <w:emboss w:val="0"/>
        <w:imprint w:val="0"/>
        <w:vanish w:val="0"/>
        <w:spacing w:val="0"/>
        <w:position w:val="0"/>
        <w:u w:val="none"/>
        <w:vertAlign w:val="baseline"/>
        <w14:ligatures w14:val="none"/>
        <w14:numForm w14:val="default"/>
        <w14:numSpacing w14:val="default"/>
      </w:rPr>
    </w:lvl>
    <w:lvl w:ilvl="3" w:tentative="0">
      <w:start w:val="1"/>
      <w:numFmt w:val="none"/>
      <w:lvlText w:val=""/>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529656C2"/>
    <w:multiLevelType w:val="singleLevel"/>
    <w:tmpl w:val="529656C2"/>
    <w:lvl w:ilvl="0" w:tentative="0">
      <w:start w:val="1"/>
      <w:numFmt w:val="decimalEnclosedCircleChinese"/>
      <w:suff w:val="nothing"/>
      <w:lvlText w:val="%1　"/>
      <w:lvlJc w:val="left"/>
      <w:pPr>
        <w:ind w:left="0" w:firstLine="400"/>
      </w:pPr>
      <w:rPr>
        <w:rFonts w:hint="eastAsia"/>
      </w:rPr>
    </w:lvl>
  </w:abstractNum>
  <w:abstractNum w:abstractNumId="4">
    <w:nsid w:val="555A9E8B"/>
    <w:multiLevelType w:val="singleLevel"/>
    <w:tmpl w:val="555A9E8B"/>
    <w:lvl w:ilvl="0" w:tentative="0">
      <w:start w:val="1"/>
      <w:numFmt w:val="decimal"/>
      <w:pStyle w:val="27"/>
      <w:suff w:val="nothing"/>
      <w:lvlText w:val="%1）"/>
      <w:lvlJc w:val="left"/>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80129"/>
    <w:rsid w:val="00032AC7"/>
    <w:rsid w:val="000A4F05"/>
    <w:rsid w:val="000C63D1"/>
    <w:rsid w:val="00103B85"/>
    <w:rsid w:val="001946DA"/>
    <w:rsid w:val="001F2DF0"/>
    <w:rsid w:val="002468C9"/>
    <w:rsid w:val="00281979"/>
    <w:rsid w:val="002C283F"/>
    <w:rsid w:val="002D1F75"/>
    <w:rsid w:val="002E022C"/>
    <w:rsid w:val="00304395"/>
    <w:rsid w:val="003A1DEB"/>
    <w:rsid w:val="00403801"/>
    <w:rsid w:val="00410AEB"/>
    <w:rsid w:val="0041746B"/>
    <w:rsid w:val="00454412"/>
    <w:rsid w:val="00457955"/>
    <w:rsid w:val="00566BCE"/>
    <w:rsid w:val="00580129"/>
    <w:rsid w:val="005C66B1"/>
    <w:rsid w:val="005E4943"/>
    <w:rsid w:val="006B014E"/>
    <w:rsid w:val="006C6087"/>
    <w:rsid w:val="00810AAB"/>
    <w:rsid w:val="008D4B3C"/>
    <w:rsid w:val="009325CE"/>
    <w:rsid w:val="009B3CAE"/>
    <w:rsid w:val="009E2738"/>
    <w:rsid w:val="009F0871"/>
    <w:rsid w:val="00A018D0"/>
    <w:rsid w:val="00A02488"/>
    <w:rsid w:val="00AB4B3B"/>
    <w:rsid w:val="00B1131F"/>
    <w:rsid w:val="00B62711"/>
    <w:rsid w:val="00BE5816"/>
    <w:rsid w:val="00C03FC3"/>
    <w:rsid w:val="00C05794"/>
    <w:rsid w:val="00CD09C3"/>
    <w:rsid w:val="00CD435C"/>
    <w:rsid w:val="00D254AA"/>
    <w:rsid w:val="00DF3288"/>
    <w:rsid w:val="00EE2538"/>
    <w:rsid w:val="00EE3B07"/>
    <w:rsid w:val="00F01AC4"/>
    <w:rsid w:val="00F84A89"/>
    <w:rsid w:val="018715D5"/>
    <w:rsid w:val="07F71ACF"/>
    <w:rsid w:val="0A2C1A06"/>
    <w:rsid w:val="1339732B"/>
    <w:rsid w:val="13CA71B6"/>
    <w:rsid w:val="18057EF9"/>
    <w:rsid w:val="1F7A7466"/>
    <w:rsid w:val="22FF0302"/>
    <w:rsid w:val="29A6176B"/>
    <w:rsid w:val="366B04D5"/>
    <w:rsid w:val="3F712C9E"/>
    <w:rsid w:val="416933BC"/>
    <w:rsid w:val="47E87A70"/>
    <w:rsid w:val="5C8E29F0"/>
    <w:rsid w:val="5F770C81"/>
    <w:rsid w:val="640669E7"/>
    <w:rsid w:val="6D2A4CBB"/>
    <w:rsid w:val="710B22E0"/>
    <w:rsid w:val="757075B5"/>
    <w:rsid w:val="785252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0"/>
    <w:qFormat/>
    <w:uiPriority w:val="9"/>
    <w:pPr>
      <w:keepNext/>
      <w:keepLines/>
      <w:spacing w:before="340" w:after="330" w:line="578" w:lineRule="auto"/>
      <w:outlineLvl w:val="0"/>
    </w:pPr>
    <w:rPr>
      <w:rFonts w:asciiTheme="minorHAnsi" w:hAnsiTheme="minorHAnsi" w:eastAsiaTheme="minorEastAsia" w:cstheme="minorBidi"/>
      <w:b/>
      <w:bCs/>
      <w:kern w:val="44"/>
      <w:sz w:val="44"/>
      <w:szCs w:val="44"/>
    </w:rPr>
  </w:style>
  <w:style w:type="paragraph" w:styleId="4">
    <w:name w:val="heading 2"/>
    <w:basedOn w:val="1"/>
    <w:next w:val="1"/>
    <w:link w:val="2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semiHidden/>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30"/>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semiHidden/>
    <w:unhideWhenUsed/>
    <w:qFormat/>
    <w:uiPriority w:val="9"/>
    <w:pPr>
      <w:keepNext/>
      <w:keepLines/>
      <w:spacing w:before="280" w:after="290" w:line="376" w:lineRule="auto"/>
      <w:outlineLvl w:val="4"/>
    </w:pPr>
    <w:rPr>
      <w:b/>
      <w:bCs/>
      <w:sz w:val="28"/>
      <w:szCs w:val="28"/>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8">
    <w:name w:val="footer"/>
    <w:basedOn w:val="1"/>
    <w:link w:val="16"/>
    <w:semiHidden/>
    <w:unhideWhenUsed/>
    <w:qFormat/>
    <w:uiPriority w:val="99"/>
    <w:pPr>
      <w:tabs>
        <w:tab w:val="center" w:pos="4153"/>
        <w:tab w:val="right" w:pos="8306"/>
      </w:tabs>
      <w:snapToGrid w:val="0"/>
      <w:jc w:val="left"/>
    </w:pPr>
    <w:rPr>
      <w:sz w:val="18"/>
      <w:szCs w:val="18"/>
    </w:rPr>
  </w:style>
  <w:style w:type="paragraph" w:styleId="9">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rFonts w:cs="Times New Roman"/>
      <w:kern w:val="0"/>
    </w:rPr>
  </w:style>
  <w:style w:type="paragraph" w:styleId="11">
    <w:name w:val="Title"/>
    <w:basedOn w:val="1"/>
    <w:next w:val="1"/>
    <w:link w:val="31"/>
    <w:qFormat/>
    <w:uiPriority w:val="10"/>
    <w:pPr>
      <w:spacing w:before="240" w:after="60"/>
      <w:jc w:val="center"/>
      <w:outlineLvl w:val="0"/>
    </w:pPr>
    <w:rPr>
      <w:rFonts w:asciiTheme="majorHAnsi" w:hAnsiTheme="majorHAnsi" w:eastAsiaTheme="majorEastAsia" w:cstheme="majorBidi"/>
      <w:b/>
      <w:bCs/>
      <w:sz w:val="32"/>
      <w:szCs w:val="32"/>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页眉 字符"/>
    <w:basedOn w:val="14"/>
    <w:link w:val="9"/>
    <w:semiHidden/>
    <w:qFormat/>
    <w:uiPriority w:val="99"/>
    <w:rPr>
      <w:rFonts w:ascii="Times New Roman" w:hAnsi="Times New Roman" w:eastAsia="宋体" w:cs="Times New Roman"/>
      <w:sz w:val="18"/>
      <w:szCs w:val="18"/>
    </w:rPr>
  </w:style>
  <w:style w:type="character" w:customStyle="1" w:styleId="16">
    <w:name w:val="页脚 字符"/>
    <w:basedOn w:val="14"/>
    <w:link w:val="8"/>
    <w:semiHidden/>
    <w:qFormat/>
    <w:uiPriority w:val="99"/>
    <w:rPr>
      <w:rFonts w:ascii="Times New Roman" w:hAnsi="Times New Roman" w:eastAsia="宋体" w:cs="Times New Roman"/>
      <w:sz w:val="18"/>
      <w:szCs w:val="18"/>
    </w:rPr>
  </w:style>
  <w:style w:type="paragraph" w:customStyle="1" w:styleId="17">
    <w:name w:val="Default"/>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character" w:customStyle="1" w:styleId="18">
    <w:name w:val="列出段落 字符"/>
    <w:link w:val="19"/>
    <w:qFormat/>
    <w:uiPriority w:val="0"/>
    <w:rPr>
      <w:rFonts w:ascii="Calibri" w:hAnsi="Calibri"/>
    </w:rPr>
  </w:style>
  <w:style w:type="paragraph" w:styleId="19">
    <w:name w:val="List Paragraph"/>
    <w:basedOn w:val="1"/>
    <w:link w:val="18"/>
    <w:qFormat/>
    <w:uiPriority w:val="34"/>
    <w:pPr>
      <w:ind w:firstLine="420" w:firstLineChars="200"/>
    </w:pPr>
    <w:rPr>
      <w:rFonts w:ascii="Calibri" w:hAnsi="Calibri" w:eastAsiaTheme="minorEastAsia" w:cstheme="minorBidi"/>
      <w:szCs w:val="22"/>
    </w:rPr>
  </w:style>
  <w:style w:type="character" w:customStyle="1" w:styleId="20">
    <w:name w:val="标题 1 字符"/>
    <w:basedOn w:val="14"/>
    <w:link w:val="3"/>
    <w:qFormat/>
    <w:uiPriority w:val="9"/>
    <w:rPr>
      <w:b/>
      <w:bCs/>
      <w:kern w:val="44"/>
      <w:sz w:val="44"/>
      <w:szCs w:val="44"/>
    </w:rPr>
  </w:style>
  <w:style w:type="character" w:customStyle="1" w:styleId="21">
    <w:name w:val="标题 2 字符"/>
    <w:basedOn w:val="14"/>
    <w:link w:val="4"/>
    <w:qFormat/>
    <w:uiPriority w:val="9"/>
    <w:rPr>
      <w:rFonts w:asciiTheme="majorHAnsi" w:hAnsiTheme="majorHAnsi" w:eastAsiaTheme="majorEastAsia" w:cstheme="majorBidi"/>
      <w:b/>
      <w:bCs/>
      <w:sz w:val="32"/>
      <w:szCs w:val="32"/>
    </w:rPr>
  </w:style>
  <w:style w:type="paragraph" w:customStyle="1" w:styleId="22">
    <w:name w:val="列出段落1"/>
    <w:basedOn w:val="1"/>
    <w:qFormat/>
    <w:uiPriority w:val="34"/>
    <w:pPr>
      <w:ind w:firstLine="420" w:firstLineChars="200"/>
    </w:pPr>
    <w:rPr>
      <w:rFonts w:asciiTheme="minorHAnsi" w:hAnsiTheme="minorHAnsi" w:eastAsiaTheme="minorEastAsia" w:cstheme="minorBidi"/>
      <w:szCs w:val="22"/>
    </w:rPr>
  </w:style>
  <w:style w:type="paragraph" w:customStyle="1" w:styleId="23">
    <w:name w:val="paragraph1"/>
    <w:basedOn w:val="1"/>
    <w:link w:val="24"/>
    <w:qFormat/>
    <w:uiPriority w:val="0"/>
    <w:pPr>
      <w:spacing w:afterLines="30" w:line="360" w:lineRule="auto"/>
      <w:ind w:firstLine="480" w:firstLineChars="200"/>
    </w:pPr>
    <w:rPr>
      <w:sz w:val="24"/>
    </w:rPr>
  </w:style>
  <w:style w:type="character" w:customStyle="1" w:styleId="24">
    <w:name w:val="paragraph1 Char"/>
    <w:link w:val="23"/>
    <w:qFormat/>
    <w:uiPriority w:val="0"/>
    <w:rPr>
      <w:rFonts w:ascii="Times New Roman" w:hAnsi="Times New Roman" w:eastAsia="宋体" w:cs="Times New Roman"/>
      <w:sz w:val="24"/>
      <w:szCs w:val="24"/>
    </w:rPr>
  </w:style>
  <w:style w:type="paragraph" w:customStyle="1" w:styleId="25">
    <w:name w:val="正文模式"/>
    <w:basedOn w:val="1"/>
    <w:qFormat/>
    <w:uiPriority w:val="0"/>
    <w:pPr>
      <w:spacing w:line="360" w:lineRule="auto"/>
      <w:ind w:firstLine="480" w:firstLineChars="200"/>
    </w:pPr>
    <w:rPr>
      <w:rFonts w:cs="宋体"/>
      <w:sz w:val="24"/>
      <w:szCs w:val="20"/>
    </w:rPr>
  </w:style>
  <w:style w:type="paragraph" w:customStyle="1" w:styleId="26">
    <w:name w:val="列表段落1"/>
    <w:basedOn w:val="1"/>
    <w:unhideWhenUsed/>
    <w:qFormat/>
    <w:uiPriority w:val="99"/>
    <w:pPr>
      <w:ind w:firstLine="420" w:firstLineChars="200"/>
    </w:pPr>
    <w:rPr>
      <w:rFonts w:asciiTheme="minorHAnsi" w:hAnsiTheme="minorHAnsi" w:eastAsiaTheme="minorEastAsia" w:cstheme="minorBidi"/>
    </w:rPr>
  </w:style>
  <w:style w:type="paragraph" w:customStyle="1" w:styleId="27">
    <w:name w:val="样式1"/>
    <w:basedOn w:val="1"/>
    <w:qFormat/>
    <w:uiPriority w:val="0"/>
    <w:pPr>
      <w:numPr>
        <w:ilvl w:val="0"/>
        <w:numId w:val="1"/>
      </w:numPr>
      <w:tabs>
        <w:tab w:val="left" w:pos="709"/>
      </w:tabs>
    </w:pPr>
    <w:rPr>
      <w:rFonts w:ascii="宋体" w:hAnsi="宋体"/>
      <w:szCs w:val="21"/>
    </w:rPr>
  </w:style>
  <w:style w:type="paragraph" w:customStyle="1" w:styleId="28">
    <w:name w:val="正文字缩2字"/>
    <w:basedOn w:val="1"/>
    <w:qFormat/>
    <w:uiPriority w:val="0"/>
    <w:pPr>
      <w:spacing w:before="60" w:after="60" w:line="360" w:lineRule="auto"/>
      <w:ind w:left="200" w:leftChars="200" w:firstLine="200" w:firstLineChars="200"/>
    </w:pPr>
    <w:rPr>
      <w:sz w:val="24"/>
    </w:rPr>
  </w:style>
  <w:style w:type="character" w:customStyle="1" w:styleId="29">
    <w:name w:val="标题 3 字符"/>
    <w:basedOn w:val="14"/>
    <w:link w:val="5"/>
    <w:semiHidden/>
    <w:qFormat/>
    <w:uiPriority w:val="9"/>
    <w:rPr>
      <w:rFonts w:ascii="Times New Roman" w:hAnsi="Times New Roman" w:eastAsia="宋体" w:cs="Times New Roman"/>
      <w:b/>
      <w:bCs/>
      <w:sz w:val="32"/>
      <w:szCs w:val="32"/>
    </w:rPr>
  </w:style>
  <w:style w:type="character" w:customStyle="1" w:styleId="30">
    <w:name w:val="标题 4 字符"/>
    <w:basedOn w:val="14"/>
    <w:link w:val="6"/>
    <w:semiHidden/>
    <w:qFormat/>
    <w:uiPriority w:val="9"/>
    <w:rPr>
      <w:rFonts w:asciiTheme="majorHAnsi" w:hAnsiTheme="majorHAnsi" w:eastAsiaTheme="majorEastAsia" w:cstheme="majorBidi"/>
      <w:b/>
      <w:bCs/>
      <w:sz w:val="28"/>
      <w:szCs w:val="28"/>
    </w:rPr>
  </w:style>
  <w:style w:type="character" w:customStyle="1" w:styleId="31">
    <w:name w:val="标题 字符"/>
    <w:basedOn w:val="14"/>
    <w:link w:val="11"/>
    <w:qFormat/>
    <w:uiPriority w:val="10"/>
    <w:rPr>
      <w:rFonts w:asciiTheme="majorHAnsi" w:hAnsiTheme="majorHAnsi" w:eastAsiaTheme="majorEastAsia" w:cstheme="majorBidi"/>
      <w:b/>
      <w:bCs/>
      <w:sz w:val="32"/>
      <w:szCs w:val="32"/>
    </w:rPr>
  </w:style>
  <w:style w:type="paragraph" w:customStyle="1" w:styleId="32">
    <w:name w:val="OC标题2"/>
    <w:basedOn w:val="4"/>
    <w:qFormat/>
    <w:uiPriority w:val="0"/>
    <w:pPr>
      <w:widowControl/>
      <w:numPr>
        <w:ilvl w:val="0"/>
        <w:numId w:val="2"/>
      </w:numPr>
      <w:spacing w:before="0" w:after="0" w:line="360" w:lineRule="auto"/>
      <w:ind w:left="280" w:hanging="280" w:hangingChars="100"/>
      <w:jc w:val="left"/>
    </w:pPr>
    <w:rPr>
      <w:rFonts w:ascii="微软雅黑" w:hAnsi="微软雅黑" w:eastAsia="微软雅黑"/>
      <w:color w:val="000000" w:themeColor="text1"/>
      <w:sz w:val="28"/>
      <w:szCs w:val="28"/>
    </w:rPr>
  </w:style>
  <w:style w:type="paragraph" w:customStyle="1" w:styleId="33">
    <w:name w:val="OC标题3"/>
    <w:basedOn w:val="5"/>
    <w:qFormat/>
    <w:uiPriority w:val="0"/>
    <w:pPr>
      <w:keepNext w:val="0"/>
      <w:keepLines w:val="0"/>
      <w:widowControl/>
      <w:numPr>
        <w:ilvl w:val="1"/>
        <w:numId w:val="2"/>
      </w:numPr>
      <w:spacing w:before="0" w:after="0" w:line="360" w:lineRule="auto"/>
      <w:ind w:left="0" w:firstLine="0" w:firstLineChars="0"/>
      <w:jc w:val="left"/>
    </w:pPr>
    <w:rPr>
      <w:rFonts w:ascii="微软雅黑" w:hAnsi="微软雅黑"/>
      <w:bCs w:val="0"/>
      <w:color w:val="000000" w:themeColor="text1"/>
      <w:sz w:val="24"/>
      <w:szCs w:val="24"/>
    </w:rPr>
  </w:style>
  <w:style w:type="paragraph" w:customStyle="1" w:styleId="34">
    <w:name w:val="OC表格"/>
    <w:basedOn w:val="35"/>
    <w:qFormat/>
    <w:uiPriority w:val="0"/>
    <w:pPr>
      <w:spacing w:line="240" w:lineRule="auto"/>
      <w:ind w:firstLine="0" w:firstLineChars="0"/>
    </w:pPr>
    <w:rPr>
      <w:kern w:val="0"/>
      <w:sz w:val="18"/>
      <w:szCs w:val="18"/>
      <w:lang w:val="zh-TW"/>
    </w:rPr>
  </w:style>
  <w:style w:type="paragraph" w:customStyle="1" w:styleId="35">
    <w:name w:val="OC正文"/>
    <w:basedOn w:val="1"/>
    <w:qFormat/>
    <w:uiPriority w:val="0"/>
    <w:pPr>
      <w:widowControl/>
      <w:spacing w:line="360" w:lineRule="auto"/>
      <w:ind w:firstLine="420"/>
      <w:jc w:val="left"/>
    </w:pPr>
  </w:style>
  <w:style w:type="paragraph" w:customStyle="1" w:styleId="36">
    <w:name w:val="OC标题5"/>
    <w:basedOn w:val="7"/>
    <w:qFormat/>
    <w:uiPriority w:val="0"/>
    <w:pPr>
      <w:widowControl/>
      <w:numPr>
        <w:ilvl w:val="0"/>
        <w:numId w:val="3"/>
      </w:numPr>
      <w:spacing w:before="0" w:after="0" w:line="360" w:lineRule="auto"/>
      <w:ind w:left="284" w:firstLine="0" w:firstLineChars="0"/>
      <w:jc w:val="left"/>
    </w:pPr>
    <w:rPr>
      <w:rFonts w:ascii="微软雅黑" w:hAnsi="微软雅黑"/>
      <w:sz w:val="24"/>
      <w:szCs w:val="24"/>
    </w:rPr>
  </w:style>
  <w:style w:type="character" w:customStyle="1" w:styleId="37">
    <w:name w:val="comment"/>
    <w:basedOn w:val="1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27</Pages>
  <Words>2286</Words>
  <Characters>13032</Characters>
  <Lines>108</Lines>
  <Paragraphs>30</Paragraphs>
  <TotalTime>1</TotalTime>
  <ScaleCrop>false</ScaleCrop>
  <LinksUpToDate>false</LinksUpToDate>
  <CharactersWithSpaces>15288</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2015-07-06T02:02:00Z</dcterms:created>
  <dc:creator>郑怀宇</dc:creator>
  <cp:lastModifiedBy>不哭</cp:lastModifiedBy>
  <dcterms:modified xsi:type="dcterms:W3CDTF">2021-12-13T06:47:39Z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F8392A99EC37407390CF1CFDCFAD819B</vt:lpwstr>
  </property>
</Properties>
</file>