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2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分布式存储系统</w:t>
            </w:r>
            <w:bookmarkStart w:id="0" w:name="_GoBack"/>
            <w:bookmarkEnd w:id="0"/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17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17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2"/>
        <w:tblW w:w="13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jc w:val="center"/>
        <w:outlineLvl w:val="0"/>
        <w:rPr>
          <w:rFonts w:hint="eastAsia" w:ascii="Times New Roman" w:hAnsi="Times New Roman" w:eastAsia="黑体" w:cs="Times New Roman"/>
          <w:b/>
          <w:sz w:val="36"/>
          <w:szCs w:val="36"/>
        </w:rPr>
      </w:pPr>
    </w:p>
    <w:tbl>
      <w:tblPr>
        <w:tblStyle w:val="12"/>
        <w:tblW w:w="5009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1555"/>
        <w:gridCol w:w="3115"/>
        <w:gridCol w:w="1182"/>
        <w:gridCol w:w="1925"/>
        <w:gridCol w:w="1555"/>
        <w:gridCol w:w="1558"/>
        <w:gridCol w:w="15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合同包</w:t>
            </w:r>
          </w:p>
        </w:tc>
        <w:tc>
          <w:tcPr>
            <w:tcW w:w="5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品目号</w:t>
            </w:r>
          </w:p>
        </w:tc>
        <w:tc>
          <w:tcPr>
            <w:tcW w:w="111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采购标的</w:t>
            </w:r>
          </w:p>
        </w:tc>
        <w:tc>
          <w:tcPr>
            <w:tcW w:w="4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允许进口</w:t>
            </w:r>
          </w:p>
        </w:tc>
        <w:tc>
          <w:tcPr>
            <w:tcW w:w="6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5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品目号预算</w:t>
            </w:r>
          </w:p>
        </w:tc>
        <w:tc>
          <w:tcPr>
            <w:tcW w:w="55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合同包预算</w:t>
            </w:r>
          </w:p>
        </w:tc>
        <w:tc>
          <w:tcPr>
            <w:tcW w:w="55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投标保证金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5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1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分布式存储系统</w:t>
            </w:r>
          </w:p>
        </w:tc>
        <w:tc>
          <w:tcPr>
            <w:tcW w:w="42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68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（节点）</w:t>
            </w:r>
          </w:p>
        </w:tc>
        <w:tc>
          <w:tcPr>
            <w:tcW w:w="5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参数：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1．国产</w:t>
      </w:r>
      <w:r>
        <w:rPr>
          <w:rFonts w:hint="eastAsia" w:ascii="Times New Roman" w:hAnsi="Times New Roman" w:eastAsia="宋体"/>
          <w:sz w:val="24"/>
          <w:lang w:val="en-US" w:eastAsia="zh-CN"/>
        </w:rPr>
        <w:t>软件</w:t>
      </w:r>
      <w:r>
        <w:rPr>
          <w:rFonts w:hint="eastAsia" w:ascii="Times New Roman" w:hAnsi="Times New Roman" w:eastAsia="宋体"/>
          <w:sz w:val="24"/>
        </w:rPr>
        <w:t>，</w:t>
      </w:r>
      <w:r>
        <w:rPr>
          <w:rFonts w:ascii="Times New Roman" w:hAnsi="Times New Roman" w:eastAsia="宋体"/>
          <w:sz w:val="24"/>
        </w:rPr>
        <w:t>提供</w:t>
      </w:r>
      <w:r>
        <w:rPr>
          <w:rFonts w:hint="eastAsia" w:ascii="Times New Roman" w:hAnsi="Times New Roman" w:eastAsia="宋体"/>
          <w:sz w:val="24"/>
        </w:rPr>
        <w:t>产品</w:t>
      </w:r>
      <w:r>
        <w:rPr>
          <w:rFonts w:ascii="Times New Roman" w:hAnsi="Times New Roman" w:eastAsia="宋体"/>
          <w:sz w:val="24"/>
        </w:rPr>
        <w:t>的软件著作权登记证书</w:t>
      </w:r>
      <w:r>
        <w:rPr>
          <w:rFonts w:hint="eastAsia" w:ascii="Times New Roman" w:hAnsi="Times New Roman" w:eastAsia="宋体"/>
          <w:sz w:val="24"/>
        </w:rPr>
        <w:t>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2．兼容性：</w:t>
      </w:r>
      <w:r>
        <w:rPr>
          <w:rFonts w:ascii="Times New Roman" w:hAnsi="Times New Roman" w:eastAsia="宋体"/>
          <w:sz w:val="24"/>
        </w:rPr>
        <w:t>支持工业标准的x86或国产化通用硬件，硬件不能限定品牌，不能限定硬件部件的型号。提供鲲鹏、海光</w:t>
      </w:r>
      <w:r>
        <w:rPr>
          <w:rFonts w:hint="eastAsia" w:ascii="Times New Roman" w:hAnsi="Times New Roman" w:eastAsia="宋体"/>
          <w:sz w:val="24"/>
        </w:rPr>
        <w:t>和飞腾</w:t>
      </w:r>
      <w:r>
        <w:rPr>
          <w:rFonts w:ascii="Times New Roman" w:hAnsi="Times New Roman" w:eastAsia="宋体"/>
          <w:sz w:val="24"/>
        </w:rPr>
        <w:t>兼容性</w:t>
      </w:r>
      <w:r>
        <w:rPr>
          <w:rFonts w:hint="eastAsia" w:ascii="Times New Roman" w:hAnsi="Times New Roman" w:eastAsia="宋体"/>
          <w:sz w:val="24"/>
        </w:rPr>
        <w:t>材料。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ascii="Times New Roman" w:hAnsi="Times New Roman" w:eastAsia="宋体"/>
          <w:sz w:val="24"/>
        </w:rPr>
        <w:t>3</w:t>
      </w:r>
      <w:r>
        <w:rPr>
          <w:rFonts w:hint="eastAsia" w:ascii="Times New Roman" w:hAnsi="Times New Roman" w:eastAsia="宋体"/>
          <w:sz w:val="24"/>
        </w:rPr>
        <w:t>．扩展性：</w:t>
      </w:r>
      <w:r>
        <w:rPr>
          <w:rFonts w:ascii="Times New Roman" w:hAnsi="Times New Roman" w:eastAsia="宋体"/>
          <w:sz w:val="24"/>
        </w:rPr>
        <w:t>线性扩容，通过节点内添加硬盘和添加节点的方式，使系统性能和容量线性提升。具备扩展能力，最大横向扩展至 4096 个节点，支撑业务灵活扩展。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ascii="Times New Roman" w:hAnsi="Times New Roman" w:eastAsia="宋体"/>
          <w:sz w:val="24"/>
        </w:rPr>
        <w:t>4</w:t>
      </w:r>
      <w:r>
        <w:rPr>
          <w:rFonts w:hint="eastAsia" w:ascii="Times New Roman" w:hAnsi="Times New Roman" w:eastAsia="宋体"/>
          <w:sz w:val="24"/>
        </w:rPr>
        <w:t>．管理监控：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1)</w:t>
      </w:r>
      <w:r>
        <w:rPr>
          <w:rFonts w:ascii="Segoe UI Symbol" w:hAnsi="Segoe UI Symbol" w:eastAsia="宋体" w:cs="Segoe UI Symbol"/>
          <w:sz w:val="24"/>
        </w:rPr>
        <w:t>★</w:t>
      </w:r>
      <w:r>
        <w:rPr>
          <w:rFonts w:hint="eastAsia" w:ascii="Segoe UI Symbol" w:hAnsi="Segoe UI Symbol" w:eastAsia="宋体" w:cs="Segoe UI Symbol"/>
          <w:sz w:val="24"/>
        </w:rPr>
        <w:t>存储管理平台</w:t>
      </w:r>
      <w:r>
        <w:rPr>
          <w:rFonts w:ascii="Times New Roman" w:hAnsi="Times New Roman" w:eastAsia="宋体"/>
          <w:sz w:val="24"/>
        </w:rPr>
        <w:t>图形管理界面概览页面可查看集群的数据状态、服务器状态、物理池状态、存储池状态及磁盘状态</w:t>
      </w:r>
      <w:r>
        <w:rPr>
          <w:rFonts w:hint="eastAsia" w:ascii="Times New Roman" w:hAnsi="Times New Roman" w:eastAsia="宋体"/>
          <w:sz w:val="24"/>
        </w:rPr>
        <w:t>；</w:t>
      </w:r>
      <w:r>
        <w:rPr>
          <w:rFonts w:ascii="Times New Roman" w:hAnsi="Times New Roman" w:eastAsia="宋体"/>
          <w:sz w:val="24"/>
        </w:rPr>
        <w:t>系统的裸容量、有效容量和实际占用容量；物理池容量Top3、存储池容量Top3、磁盘容量使用分布。可查看单存储池3个月内总体性能指标，性能指标包括读写带宽，读写IOPS，PG均衡性和PG均衡分布图。提供以上视图功能的产品截图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2)</w:t>
      </w:r>
      <w:r>
        <w:rPr>
          <w:rFonts w:ascii="Segoe UI Symbol" w:hAnsi="Segoe UI Symbol" w:eastAsia="宋体" w:cs="Segoe UI Symbol"/>
          <w:sz w:val="24"/>
        </w:rPr>
        <w:t xml:space="preserve"> ★</w:t>
      </w:r>
      <w:r>
        <w:rPr>
          <w:rFonts w:ascii="Times New Roman" w:hAnsi="Times New Roman" w:eastAsia="宋体"/>
          <w:sz w:val="24"/>
        </w:rPr>
        <w:t>存储管理平台图形管理界面</w:t>
      </w:r>
      <w:r>
        <w:rPr>
          <w:rFonts w:hint="eastAsia" w:ascii="Times New Roman" w:hAnsi="Times New Roman" w:eastAsia="宋体"/>
          <w:sz w:val="24"/>
        </w:rPr>
        <w:t>可以</w:t>
      </w:r>
      <w:r>
        <w:rPr>
          <w:rFonts w:ascii="Times New Roman" w:hAnsi="Times New Roman" w:eastAsia="宋体"/>
          <w:sz w:val="24"/>
        </w:rPr>
        <w:t>显示所有存储节点</w:t>
      </w:r>
      <w:r>
        <w:rPr>
          <w:rFonts w:hint="eastAsia" w:ascii="Times New Roman" w:hAnsi="Times New Roman" w:eastAsia="宋体"/>
          <w:sz w:val="24"/>
        </w:rPr>
        <w:t>（node）</w:t>
      </w:r>
      <w:r>
        <w:rPr>
          <w:rFonts w:ascii="Times New Roman" w:hAnsi="Times New Roman" w:eastAsia="宋体"/>
          <w:sz w:val="24"/>
        </w:rPr>
        <w:t>的</w:t>
      </w:r>
      <w:r>
        <w:rPr>
          <w:rFonts w:hint="eastAsia" w:ascii="Times New Roman" w:hAnsi="Times New Roman" w:eastAsia="宋体"/>
          <w:sz w:val="24"/>
        </w:rPr>
        <w:t>能耗</w:t>
      </w:r>
      <w:r>
        <w:rPr>
          <w:rFonts w:ascii="Times New Roman" w:hAnsi="Times New Roman" w:eastAsia="宋体"/>
          <w:sz w:val="24"/>
        </w:rPr>
        <w:t>管理，</w:t>
      </w:r>
      <w:r>
        <w:rPr>
          <w:rFonts w:hint="eastAsia" w:ascii="Times New Roman" w:hAnsi="Times New Roman" w:eastAsia="宋体"/>
          <w:sz w:val="24"/>
        </w:rPr>
        <w:t>包括电流、功率、电量、</w:t>
      </w:r>
      <w:r>
        <w:rPr>
          <w:rFonts w:ascii="Times New Roman" w:hAnsi="Times New Roman" w:eastAsia="宋体"/>
          <w:sz w:val="24"/>
        </w:rPr>
        <w:t>开关控制</w:t>
      </w:r>
      <w:r>
        <w:rPr>
          <w:rFonts w:hint="eastAsia" w:ascii="Times New Roman" w:hAnsi="Times New Roman" w:eastAsia="宋体"/>
          <w:sz w:val="24"/>
        </w:rPr>
        <w:t>。提供以上视图功能的界面截图</w:t>
      </w:r>
      <w:r>
        <w:rPr>
          <w:rFonts w:ascii="Times New Roman" w:hAnsi="Times New Roman" w:eastAsia="宋体"/>
          <w:sz w:val="24"/>
        </w:rPr>
        <w:t>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3)</w:t>
      </w:r>
      <w:r>
        <w:rPr>
          <w:rFonts w:ascii="Segoe UI Symbol" w:hAnsi="Segoe UI Symbol" w:eastAsia="宋体" w:cs="Segoe UI Symbol"/>
          <w:sz w:val="24"/>
        </w:rPr>
        <w:t xml:space="preserve"> ★</w:t>
      </w:r>
      <w:r>
        <w:rPr>
          <w:rFonts w:hint="eastAsia" w:ascii="Times New Roman" w:hAnsi="Times New Roman" w:eastAsia="宋体"/>
          <w:sz w:val="24"/>
        </w:rPr>
        <w:t>存储管理平台图形管理界面可以显示机柜（rack）内部存储节点整体的能耗管理，包括电压、电流、功率、频率、电量、在线状态情况。提供以上视图功能的界面截图</w:t>
      </w:r>
      <w:r>
        <w:rPr>
          <w:rFonts w:ascii="Times New Roman" w:hAnsi="Times New Roman" w:eastAsia="宋体"/>
          <w:sz w:val="24"/>
        </w:rPr>
        <w:t>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4)</w:t>
      </w:r>
      <w:r>
        <w:rPr>
          <w:rFonts w:ascii="Segoe UI Symbol" w:hAnsi="Segoe UI Symbol" w:eastAsia="宋体" w:cs="Segoe UI Symbol"/>
          <w:sz w:val="24"/>
        </w:rPr>
        <w:t xml:space="preserve"> ★</w:t>
      </w:r>
      <w:r>
        <w:rPr>
          <w:rFonts w:ascii="Times New Roman" w:hAnsi="Times New Roman" w:eastAsia="宋体"/>
          <w:sz w:val="24"/>
        </w:rPr>
        <w:t>存储管理平台图形管理上</w:t>
      </w:r>
      <w:r>
        <w:rPr>
          <w:rFonts w:hint="eastAsia" w:ascii="Times New Roman" w:hAnsi="Times New Roman" w:eastAsia="宋体"/>
          <w:sz w:val="24"/>
        </w:rPr>
        <w:t>可以</w:t>
      </w:r>
      <w:r>
        <w:rPr>
          <w:rFonts w:ascii="Times New Roman" w:hAnsi="Times New Roman" w:eastAsia="宋体"/>
          <w:sz w:val="24"/>
        </w:rPr>
        <w:t>对分布式存储设备环境的温度、湿度的数据采集进行</w:t>
      </w:r>
      <w:r>
        <w:rPr>
          <w:rFonts w:hint="eastAsia" w:ascii="Times New Roman" w:hAnsi="Times New Roman" w:eastAsia="宋体"/>
          <w:sz w:val="24"/>
        </w:rPr>
        <w:t>显示</w:t>
      </w:r>
      <w:r>
        <w:rPr>
          <w:rFonts w:ascii="Times New Roman" w:hAnsi="Times New Roman" w:eastAsia="宋体"/>
          <w:sz w:val="24"/>
        </w:rPr>
        <w:t>。提供以上视图功能的界面截图。</w:t>
      </w:r>
    </w:p>
    <w:p>
      <w:pPr>
        <w:spacing w:line="360" w:lineRule="auto"/>
        <w:jc w:val="left"/>
        <w:rPr>
          <w:rFonts w:hint="eastAsia" w:ascii="Times New Roman" w:hAnsi="Times New Roman" w:eastAsia="宋体"/>
          <w:sz w:val="24"/>
          <w:lang w:eastAsia="zh-CN"/>
        </w:rPr>
      </w:pPr>
      <w:r>
        <w:rPr>
          <w:rFonts w:ascii="Times New Roman" w:hAnsi="Times New Roman" w:eastAsia="宋体"/>
          <w:sz w:val="24"/>
        </w:rPr>
        <w:t>5</w:t>
      </w:r>
      <w:r>
        <w:rPr>
          <w:rFonts w:hint="eastAsia" w:ascii="Times New Roman" w:hAnsi="Times New Roman" w:eastAsia="宋体"/>
          <w:sz w:val="24"/>
        </w:rPr>
        <w:t>．运维管理：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1)所有组件基于容器部署，实现各模块的资源隔离和故障隔离，提升系统兼容性和可靠性，以及系统的快速部署和升级。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2)可视化运维管理界面，存储资源分为物理池和存储池两级管理，可在物理池上创建存储（逻辑）池。提供以上视图功能的产品截图。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3)系统内置自助健康巡检，并生成巡检报告。提供以上视图功能的产品截图。</w:t>
      </w:r>
    </w:p>
    <w:p>
      <w:pPr>
        <w:spacing w:line="360" w:lineRule="auto"/>
        <w:jc w:val="left"/>
        <w:rPr>
          <w:rFonts w:hint="eastAsia" w:ascii="Times New Roman" w:hAnsi="Times New Roman" w:eastAsia="宋体"/>
          <w:sz w:val="24"/>
          <w:lang w:eastAsia="zh-CN"/>
        </w:rPr>
      </w:pPr>
      <w:r>
        <w:rPr>
          <w:rFonts w:ascii="Times New Roman" w:hAnsi="Times New Roman" w:eastAsia="宋体"/>
          <w:sz w:val="24"/>
        </w:rPr>
        <w:t>6</w:t>
      </w:r>
      <w:r>
        <w:rPr>
          <w:rFonts w:hint="eastAsia" w:ascii="Times New Roman" w:hAnsi="Times New Roman" w:eastAsia="宋体"/>
          <w:sz w:val="24"/>
        </w:rPr>
        <w:t>．系统功能：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1)</w:t>
      </w:r>
      <w:r>
        <w:rPr>
          <w:rFonts w:ascii="Segoe UI Symbol" w:hAnsi="Segoe UI Symbol" w:eastAsia="宋体" w:cs="Segoe UI Symbol"/>
          <w:sz w:val="24"/>
        </w:rPr>
        <w:t xml:space="preserve"> </w:t>
      </w:r>
      <w:r>
        <w:rPr>
          <w:rFonts w:ascii="Times New Roman" w:hAnsi="Times New Roman" w:eastAsia="宋体"/>
          <w:sz w:val="24"/>
        </w:rPr>
        <w:t>协议支持，支持Amazon S3标准接口，Openstack Swift接口，NFS接口，HDFS接口。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2)</w:t>
      </w:r>
      <w:r>
        <w:rPr>
          <w:rFonts w:ascii="Segoe UI Symbol" w:hAnsi="Segoe UI Symbol" w:eastAsia="宋体" w:cs="Segoe UI Symbol"/>
          <w:sz w:val="24"/>
        </w:rPr>
        <w:t xml:space="preserve"> ★</w:t>
      </w:r>
      <w:r>
        <w:rPr>
          <w:rFonts w:ascii="Times New Roman" w:hAnsi="Times New Roman" w:eastAsia="宋体"/>
          <w:sz w:val="24"/>
        </w:rPr>
        <w:t>对不同类型的对象数据可以自定义存储策略，设定索引、缓存、数据存放的资源池。并且支持数据池可选存储级别（标准，低频访问，归档，深度归档）。提供以上视图功能的产品截图。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3)</w:t>
      </w:r>
      <w:r>
        <w:rPr>
          <w:rFonts w:ascii="Segoe UI Symbol" w:hAnsi="Segoe UI Symbol" w:eastAsia="宋体" w:cs="Segoe UI Symbol"/>
          <w:sz w:val="24"/>
        </w:rPr>
        <w:t xml:space="preserve"> ★</w:t>
      </w:r>
      <w:r>
        <w:rPr>
          <w:rFonts w:ascii="Times New Roman" w:hAnsi="Times New Roman" w:eastAsia="宋体"/>
          <w:sz w:val="24"/>
        </w:rPr>
        <w:t>存储桶支持</w:t>
      </w:r>
      <w:r>
        <w:rPr>
          <w:rFonts w:hint="eastAsia" w:ascii="Times New Roman" w:hAnsi="Times New Roman" w:eastAsia="宋体"/>
          <w:sz w:val="24"/>
        </w:rPr>
        <w:t>WORM（写保护）</w:t>
      </w:r>
      <w:r>
        <w:rPr>
          <w:rFonts w:ascii="Times New Roman" w:hAnsi="Times New Roman" w:eastAsia="宋体"/>
          <w:sz w:val="24"/>
        </w:rPr>
        <w:t>,支持两种保留模式: 监管模式和合规性模式。提供以上视图功能的产品截图。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4)支持小文件智能归并：智能数据缓存会自主感知文件大小，对于小于1MB 的</w:t>
      </w:r>
      <w:r>
        <w:rPr>
          <w:rFonts w:hint="eastAsia" w:ascii="Times New Roman" w:hAnsi="Times New Roman" w:eastAsia="宋体"/>
          <w:sz w:val="24"/>
        </w:rPr>
        <w:t>文件</w:t>
      </w:r>
      <w:r>
        <w:rPr>
          <w:rFonts w:ascii="Times New Roman" w:hAnsi="Times New Roman" w:eastAsia="宋体"/>
          <w:sz w:val="24"/>
        </w:rPr>
        <w:t>进行内存在线合并和读写优化。</w:t>
      </w:r>
    </w:p>
    <w:p>
      <w:pPr>
        <w:spacing w:line="360" w:lineRule="auto"/>
        <w:jc w:val="left"/>
        <w:rPr>
          <w:rFonts w:hint="eastAsia" w:ascii="Times New Roman" w:hAnsi="Times New Roman" w:eastAsia="宋体"/>
          <w:sz w:val="24"/>
          <w:lang w:eastAsia="zh-CN"/>
        </w:rPr>
      </w:pPr>
      <w:r>
        <w:rPr>
          <w:rFonts w:ascii="Times New Roman" w:hAnsi="Times New Roman" w:eastAsia="宋体"/>
          <w:sz w:val="24"/>
        </w:rPr>
        <w:t>7</w:t>
      </w:r>
      <w:r>
        <w:rPr>
          <w:rFonts w:hint="eastAsia" w:ascii="Times New Roman" w:hAnsi="Times New Roman" w:eastAsia="宋体"/>
          <w:sz w:val="24"/>
        </w:rPr>
        <w:t>．安全可靠：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1)</w:t>
      </w:r>
      <w:r>
        <w:rPr>
          <w:rFonts w:ascii="Segoe UI Symbol" w:hAnsi="Segoe UI Symbol" w:eastAsia="宋体" w:cs="Segoe UI Symbol"/>
          <w:sz w:val="24"/>
        </w:rPr>
        <w:t xml:space="preserve"> ★</w:t>
      </w:r>
      <w:r>
        <w:rPr>
          <w:rFonts w:ascii="Times New Roman" w:hAnsi="Times New Roman" w:eastAsia="宋体"/>
          <w:sz w:val="24"/>
        </w:rPr>
        <w:t>支持存储池粒度的2~ 6数据副本和EC存储策略，以获得不同等级的数据可靠性。支持在线修改副本数。提供以上视图功能的产品截图。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2)</w:t>
      </w:r>
      <w:r>
        <w:rPr>
          <w:rFonts w:ascii="Segoe UI Symbol" w:hAnsi="Segoe UI Symbol" w:eastAsia="宋体" w:cs="Segoe UI Symbol"/>
          <w:sz w:val="24"/>
        </w:rPr>
        <w:t>★</w:t>
      </w:r>
      <w:r>
        <w:rPr>
          <w:rFonts w:hint="eastAsia" w:ascii="Times New Roman" w:hAnsi="Times New Roman" w:eastAsia="宋体"/>
          <w:sz w:val="24"/>
        </w:rPr>
        <w:t>保证存储运行状态全面监控和整体数据安全，需对集群运行环境进行全面监控，可以在机房直观查看</w:t>
      </w:r>
      <w:r>
        <w:rPr>
          <w:rFonts w:ascii="Times New Roman" w:hAnsi="Times New Roman" w:eastAsia="宋体"/>
          <w:sz w:val="24"/>
        </w:rPr>
        <w:t>，配套提供安全控制台</w:t>
      </w:r>
      <w:r>
        <w:rPr>
          <w:rFonts w:hint="eastAsia" w:ascii="Times New Roman" w:hAnsi="Times New Roman" w:eastAsia="宋体"/>
          <w:sz w:val="24"/>
        </w:rPr>
        <w:t>，设备带有≥</w:t>
      </w:r>
      <w:r>
        <w:rPr>
          <w:rFonts w:ascii="Times New Roman" w:hAnsi="Times New Roman" w:eastAsia="宋体"/>
          <w:sz w:val="24"/>
        </w:rPr>
        <w:t>1.5寸LCD或OLED显示屏，屏幕监视工作状态帮助故障分析，可显示工作状态，对</w:t>
      </w:r>
      <w:r>
        <w:rPr>
          <w:rFonts w:hint="eastAsia" w:ascii="Times New Roman" w:hAnsi="Times New Roman" w:eastAsia="宋体"/>
          <w:sz w:val="24"/>
        </w:rPr>
        <w:t>存储节点</w:t>
      </w:r>
      <w:r>
        <w:rPr>
          <w:rFonts w:ascii="Times New Roman" w:hAnsi="Times New Roman" w:eastAsia="宋体"/>
          <w:sz w:val="24"/>
        </w:rPr>
        <w:t>输出电路工作情况及负载情况进行精确判断，包括端口功率、电压、电流、温湿度等状态作出显示，对环境温度和湿度、</w:t>
      </w:r>
      <w:r>
        <w:rPr>
          <w:rFonts w:hint="eastAsia" w:ascii="Times New Roman" w:hAnsi="Times New Roman" w:eastAsia="宋体"/>
          <w:sz w:val="24"/>
        </w:rPr>
        <w:t>存储节点</w:t>
      </w:r>
      <w:r>
        <w:rPr>
          <w:rFonts w:ascii="Times New Roman" w:hAnsi="Times New Roman" w:eastAsia="宋体"/>
          <w:sz w:val="24"/>
        </w:rPr>
        <w:t>的使用电流、电压做实时显示情况。提供该设备显示屏面板界面截图</w:t>
      </w:r>
      <w:r>
        <w:rPr>
          <w:rFonts w:hint="eastAsia" w:ascii="Times New Roman" w:hAnsi="Times New Roman" w:eastAsia="宋体"/>
          <w:sz w:val="24"/>
        </w:rPr>
        <w:t>。</w:t>
      </w:r>
    </w:p>
    <w:p>
      <w:pPr>
        <w:spacing w:line="360" w:lineRule="auto"/>
        <w:jc w:val="left"/>
        <w:rPr>
          <w:rFonts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sz w:val="24"/>
        </w:rPr>
        <w:t>(</w:t>
      </w:r>
      <w:r>
        <w:rPr>
          <w:rFonts w:ascii="Times New Roman" w:hAnsi="Times New Roman" w:eastAsia="宋体"/>
          <w:sz w:val="24"/>
        </w:rPr>
        <w:t>3)</w:t>
      </w:r>
      <w:r>
        <w:rPr>
          <w:rFonts w:hint="eastAsia" w:ascii="Times New Roman" w:hAnsi="Times New Roman" w:eastAsia="宋体"/>
          <w:sz w:val="24"/>
        </w:rPr>
        <w:t>存储安全管理配套设备必须无缝兼容工业标准的</w:t>
      </w:r>
      <w:r>
        <w:rPr>
          <w:rFonts w:ascii="Times New Roman" w:hAnsi="Times New Roman" w:eastAsia="宋体"/>
          <w:sz w:val="24"/>
        </w:rPr>
        <w:t>x86或国产化通用硬件，硬件不能限定品牌，不能限定硬件部件的型号</w:t>
      </w:r>
      <w:r>
        <w:rPr>
          <w:rFonts w:hint="eastAsia" w:ascii="Times New Roman" w:hAnsi="Times New Roman" w:eastAsia="宋体"/>
          <w:sz w:val="24"/>
        </w:rPr>
        <w:t>。</w: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sz w:val="24"/>
          <w:szCs w:val="20"/>
        </w:rPr>
      </w:pPr>
      <w:r>
        <w:rPr>
          <w:rFonts w:ascii="Times New Roman" w:hAnsi="Times New Roman" w:eastAsia="宋体"/>
          <w:sz w:val="24"/>
        </w:rPr>
        <w:t>8</w:t>
      </w:r>
      <w:r>
        <w:rPr>
          <w:rFonts w:hint="eastAsia" w:ascii="Times New Roman" w:hAnsi="Times New Roman" w:eastAsia="宋体"/>
          <w:sz w:val="24"/>
        </w:rPr>
        <w:t>．</w:t>
      </w:r>
      <w:r>
        <w:rPr>
          <w:rFonts w:ascii="Segoe UI Symbol" w:hAnsi="Segoe UI Symbol" w:eastAsia="宋体" w:cs="Segoe UI Symbol"/>
          <w:sz w:val="24"/>
        </w:rPr>
        <w:t>★</w:t>
      </w:r>
      <w:r>
        <w:rPr>
          <w:rFonts w:ascii="Times New Roman" w:hAnsi="Times New Roman" w:eastAsia="宋体" w:cs="Times New Roman"/>
          <w:sz w:val="24"/>
          <w:szCs w:val="20"/>
        </w:rPr>
        <w:t>配置要求</w:t>
      </w:r>
      <w:r>
        <w:rPr>
          <w:rFonts w:hint="eastAsia" w:ascii="Times New Roman" w:hAnsi="Times New Roman" w:eastAsia="宋体" w:cs="Times New Roman"/>
          <w:sz w:val="24"/>
          <w:szCs w:val="20"/>
        </w:rPr>
        <w:t>：每节点</w:t>
      </w:r>
      <w:r>
        <w:rPr>
          <w:rFonts w:ascii="Times New Roman" w:hAnsi="Times New Roman" w:eastAsia="宋体" w:cs="Times New Roman"/>
          <w:sz w:val="24"/>
          <w:szCs w:val="20"/>
        </w:rPr>
        <w:t>配置120TB</w:t>
      </w:r>
      <w:r>
        <w:rPr>
          <w:rFonts w:hint="eastAsia" w:ascii="Times New Roman" w:hAnsi="Times New Roman" w:eastAsia="宋体" w:cs="Times New Roman"/>
          <w:sz w:val="24"/>
          <w:szCs w:val="20"/>
        </w:rPr>
        <w:t>对象存储</w:t>
      </w:r>
      <w:r>
        <w:rPr>
          <w:rFonts w:ascii="Times New Roman" w:hAnsi="Times New Roman" w:eastAsia="宋体" w:cs="Times New Roman"/>
          <w:sz w:val="24"/>
          <w:szCs w:val="20"/>
        </w:rPr>
        <w:t>裸容量</w:t>
      </w:r>
      <w:r>
        <w:rPr>
          <w:rFonts w:hint="eastAsia" w:ascii="Times New Roman" w:hAnsi="Times New Roman" w:eastAsia="宋体" w:cs="Times New Roman"/>
          <w:sz w:val="24"/>
          <w:szCs w:val="20"/>
        </w:rPr>
        <w:t>终身</w:t>
      </w:r>
      <w:r>
        <w:rPr>
          <w:rFonts w:ascii="Times New Roman" w:hAnsi="Times New Roman" w:eastAsia="宋体" w:cs="Times New Roman"/>
          <w:sz w:val="24"/>
          <w:szCs w:val="20"/>
        </w:rPr>
        <w:t>授权</w:t>
      </w:r>
      <w:r>
        <w:rPr>
          <w:rFonts w:hint="eastAsia" w:ascii="Times New Roman" w:hAnsi="Times New Roman" w:eastAsia="宋体" w:cs="Times New Roman"/>
          <w:sz w:val="24"/>
          <w:szCs w:val="20"/>
        </w:rPr>
        <w:t>。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0"/>
        </w:rPr>
      </w:pPr>
      <w:r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  <w:t>9.</w:t>
      </w:r>
      <w:r>
        <w:rPr>
          <w:rFonts w:hint="eastAsia" w:ascii="Times New Roman" w:hAnsi="Times New Roman" w:eastAsia="宋体" w:cs="Times New Roman"/>
          <w:sz w:val="24"/>
          <w:szCs w:val="20"/>
        </w:rPr>
        <w:t>配置1套</w:t>
      </w:r>
      <w:r>
        <w:rPr>
          <w:rFonts w:ascii="Times New Roman" w:hAnsi="Times New Roman" w:eastAsia="宋体" w:cs="Times New Roman"/>
          <w:sz w:val="24"/>
          <w:szCs w:val="20"/>
        </w:rPr>
        <w:t>存储安全管理设备：1U机架式</w:t>
      </w:r>
      <w:r>
        <w:rPr>
          <w:rFonts w:hint="eastAsia" w:ascii="Times New Roman" w:hAnsi="Times New Roman" w:eastAsia="宋体" w:cs="Times New Roman"/>
          <w:sz w:val="24"/>
          <w:szCs w:val="20"/>
        </w:rPr>
        <w:t>，</w:t>
      </w:r>
      <w:r>
        <w:rPr>
          <w:rFonts w:ascii="Times New Roman" w:hAnsi="Times New Roman" w:eastAsia="宋体" w:cs="Times New Roman"/>
          <w:sz w:val="24"/>
          <w:szCs w:val="20"/>
        </w:rPr>
        <w:t>标准19英寸</w:t>
      </w:r>
      <w:r>
        <w:rPr>
          <w:rFonts w:hint="eastAsia" w:ascii="Times New Roman" w:hAnsi="Times New Roman" w:eastAsia="宋体" w:cs="Times New Roman"/>
          <w:sz w:val="24"/>
          <w:szCs w:val="20"/>
        </w:rPr>
        <w:t>，配置</w:t>
      </w:r>
      <w:r>
        <w:rPr>
          <w:rFonts w:ascii="Times New Roman" w:hAnsi="Times New Roman" w:eastAsia="宋体" w:cs="Times New Roman"/>
          <w:sz w:val="24"/>
          <w:szCs w:val="20"/>
        </w:rPr>
        <w:t>≥</w:t>
      </w:r>
      <w:r>
        <w:rPr>
          <w:rFonts w:hint="eastAsia" w:ascii="Times New Roman" w:hAnsi="Times New Roman" w:eastAsia="宋体" w:cs="Times New Roman"/>
          <w:sz w:val="24"/>
          <w:szCs w:val="20"/>
        </w:rPr>
        <w:t>8个</w:t>
      </w:r>
      <w:r>
        <w:rPr>
          <w:rFonts w:ascii="Times New Roman" w:hAnsi="Times New Roman" w:eastAsia="宋体" w:cs="Times New Roman"/>
          <w:sz w:val="24"/>
          <w:szCs w:val="20"/>
        </w:rPr>
        <w:t>千兆RJ45网络接口</w:t>
      </w:r>
      <w:r>
        <w:rPr>
          <w:rFonts w:hint="eastAsia" w:ascii="Times New Roman" w:hAnsi="Times New Roman" w:eastAsia="宋体" w:cs="Times New Roman"/>
          <w:sz w:val="24"/>
          <w:szCs w:val="20"/>
        </w:rPr>
        <w:t>、</w:t>
      </w:r>
      <w:r>
        <w:rPr>
          <w:rFonts w:ascii="Times New Roman" w:hAnsi="Times New Roman" w:eastAsia="宋体" w:cs="Times New Roman"/>
          <w:sz w:val="24"/>
          <w:szCs w:val="20"/>
        </w:rPr>
        <w:t>≥</w:t>
      </w:r>
      <w:r>
        <w:rPr>
          <w:rFonts w:hint="eastAsia" w:ascii="Times New Roman" w:hAnsi="Times New Roman" w:eastAsia="宋体" w:cs="Times New Roman"/>
          <w:sz w:val="24"/>
          <w:szCs w:val="20"/>
        </w:rPr>
        <w:t>1个</w:t>
      </w:r>
      <w:r>
        <w:rPr>
          <w:rFonts w:ascii="Times New Roman" w:hAnsi="Times New Roman" w:eastAsia="宋体" w:cs="Times New Roman"/>
          <w:sz w:val="24"/>
          <w:szCs w:val="20"/>
        </w:rPr>
        <w:t>独立RJ45(485通信）接口</w:t>
      </w:r>
      <w:r>
        <w:rPr>
          <w:rFonts w:hint="eastAsia" w:ascii="Times New Roman" w:hAnsi="Times New Roman" w:eastAsia="宋体" w:cs="Times New Roman"/>
          <w:sz w:val="24"/>
          <w:szCs w:val="20"/>
        </w:rPr>
        <w:t>、</w:t>
      </w:r>
      <w:r>
        <w:rPr>
          <w:rFonts w:ascii="Times New Roman" w:hAnsi="Times New Roman" w:eastAsia="宋体" w:cs="Times New Roman"/>
          <w:sz w:val="24"/>
          <w:szCs w:val="20"/>
        </w:rPr>
        <w:t>≥1 USB3.0接口</w:t>
      </w:r>
      <w:r>
        <w:rPr>
          <w:rFonts w:hint="eastAsia" w:ascii="Times New Roman" w:hAnsi="Times New Roman" w:eastAsia="宋体" w:cs="Times New Roman"/>
          <w:sz w:val="24"/>
          <w:szCs w:val="20"/>
        </w:rPr>
        <w:t>、</w:t>
      </w:r>
      <w:r>
        <w:rPr>
          <w:rFonts w:ascii="Times New Roman" w:hAnsi="Times New Roman" w:eastAsia="宋体" w:cs="Times New Roman"/>
          <w:sz w:val="24"/>
          <w:szCs w:val="20"/>
        </w:rPr>
        <w:t>≥</w:t>
      </w:r>
      <w:r>
        <w:rPr>
          <w:rFonts w:hint="eastAsia" w:ascii="Times New Roman" w:hAnsi="Times New Roman" w:eastAsia="宋体" w:cs="Times New Roman"/>
          <w:sz w:val="24"/>
          <w:szCs w:val="20"/>
        </w:rPr>
        <w:t>1</w:t>
      </w:r>
      <w:r>
        <w:rPr>
          <w:rFonts w:ascii="Times New Roman" w:hAnsi="Times New Roman" w:eastAsia="宋体" w:cs="Times New Roman"/>
          <w:sz w:val="24"/>
          <w:szCs w:val="20"/>
        </w:rPr>
        <w:t>0</w:t>
      </w:r>
      <w:r>
        <w:rPr>
          <w:rFonts w:hint="eastAsia" w:ascii="Times New Roman" w:hAnsi="Times New Roman" w:eastAsia="宋体" w:cs="Times New Roman"/>
          <w:sz w:val="24"/>
          <w:szCs w:val="20"/>
        </w:rPr>
        <w:t>个</w:t>
      </w:r>
      <w:r>
        <w:rPr>
          <w:rFonts w:ascii="Times New Roman" w:hAnsi="Times New Roman" w:eastAsia="宋体" w:cs="Times New Roman"/>
          <w:sz w:val="24"/>
          <w:szCs w:val="20"/>
        </w:rPr>
        <w:t>最新国标电源输出5孔插座口</w:t>
      </w:r>
      <w:r>
        <w:rPr>
          <w:rFonts w:hint="eastAsia" w:ascii="Times New Roman" w:hAnsi="Times New Roman" w:eastAsia="宋体" w:cs="Times New Roman"/>
          <w:sz w:val="24"/>
          <w:szCs w:val="20"/>
        </w:rPr>
        <w:t>、</w:t>
      </w:r>
      <w:r>
        <w:rPr>
          <w:rFonts w:ascii="Times New Roman" w:hAnsi="Times New Roman" w:eastAsia="宋体" w:cs="Times New Roman"/>
          <w:sz w:val="24"/>
          <w:szCs w:val="20"/>
        </w:rPr>
        <w:t>≥1.5寸的显示屏</w:t>
      </w:r>
      <w:r>
        <w:rPr>
          <w:rFonts w:hint="eastAsia" w:ascii="Times New Roman" w:hAnsi="Times New Roman" w:eastAsia="宋体" w:cs="Times New Roman"/>
          <w:sz w:val="24"/>
          <w:szCs w:val="20"/>
        </w:rPr>
        <w:t>，</w:t>
      </w:r>
      <w:r>
        <w:rPr>
          <w:rFonts w:ascii="Times New Roman" w:hAnsi="Times New Roman" w:eastAsia="宋体" w:cs="Times New Roman"/>
          <w:sz w:val="24"/>
          <w:szCs w:val="20"/>
        </w:rPr>
        <w:t>尺寸≤440MM*270MM*45MM。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0"/>
        </w:rPr>
      </w:pPr>
      <w:r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  <w:t>10.</w:t>
      </w:r>
      <w:r>
        <w:rPr>
          <w:rFonts w:ascii="Times New Roman" w:hAnsi="Times New Roman" w:eastAsia="宋体" w:cs="Times New Roman"/>
          <w:sz w:val="24"/>
          <w:szCs w:val="20"/>
        </w:rPr>
        <w:t>1年原厂</w:t>
      </w:r>
      <w:r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  <w:t>免费</w:t>
      </w:r>
      <w:r>
        <w:rPr>
          <w:rFonts w:ascii="Times New Roman" w:hAnsi="Times New Roman" w:eastAsia="宋体" w:cs="Times New Roman"/>
          <w:sz w:val="24"/>
          <w:szCs w:val="20"/>
        </w:rPr>
        <w:t>保修服务。</w:t>
      </w:r>
    </w:p>
    <w:p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0"/>
          <w:lang w:val="en-US" w:eastAsia="zh-CN"/>
        </w:rPr>
        <w:t>11.供货期30天。</w:t>
      </w:r>
    </w:p>
    <w:p>
      <w:pPr>
        <w:pStyle w:val="6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6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7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3CA71B6"/>
    <w:rsid w:val="18057EF9"/>
    <w:rsid w:val="1F7A7466"/>
    <w:rsid w:val="22FF0302"/>
    <w:rsid w:val="29A6176B"/>
    <w:rsid w:val="366B04D5"/>
    <w:rsid w:val="3F712C9E"/>
    <w:rsid w:val="416933BC"/>
    <w:rsid w:val="47E87A70"/>
    <w:rsid w:val="5C8E29F0"/>
    <w:rsid w:val="5F770C81"/>
    <w:rsid w:val="63671B6C"/>
    <w:rsid w:val="640669E7"/>
    <w:rsid w:val="6D2A4CBB"/>
    <w:rsid w:val="710B22E0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30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8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</w:rPr>
  </w:style>
  <w:style w:type="paragraph" w:styleId="11">
    <w:name w:val="Title"/>
    <w:basedOn w:val="1"/>
    <w:next w:val="1"/>
    <w:link w:val="3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页眉 字符"/>
    <w:basedOn w:val="14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字符"/>
    <w:basedOn w:val="14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8">
    <w:name w:val="列出段落 字符"/>
    <w:link w:val="19"/>
    <w:qFormat/>
    <w:uiPriority w:val="0"/>
    <w:rPr>
      <w:rFonts w:ascii="Calibri" w:hAnsi="Calibri"/>
    </w:rPr>
  </w:style>
  <w:style w:type="paragraph" w:styleId="19">
    <w:name w:val="List Paragraph"/>
    <w:basedOn w:val="1"/>
    <w:link w:val="18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20">
    <w:name w:val="标题 1 字符"/>
    <w:basedOn w:val="14"/>
    <w:link w:val="3"/>
    <w:qFormat/>
    <w:uiPriority w:val="9"/>
    <w:rPr>
      <w:b/>
      <w:bCs/>
      <w:kern w:val="44"/>
      <w:sz w:val="44"/>
      <w:szCs w:val="44"/>
    </w:rPr>
  </w:style>
  <w:style w:type="character" w:customStyle="1" w:styleId="21">
    <w:name w:val="标题 2 字符"/>
    <w:basedOn w:val="14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3">
    <w:name w:val="paragraph1"/>
    <w:basedOn w:val="1"/>
    <w:link w:val="24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4">
    <w:name w:val="paragraph1 Char"/>
    <w:link w:val="23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5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6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7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8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9">
    <w:name w:val="标题 3 字符"/>
    <w:basedOn w:val="14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0">
    <w:name w:val="标题 4 字符"/>
    <w:basedOn w:val="14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1">
    <w:name w:val="标题 字符"/>
    <w:basedOn w:val="14"/>
    <w:link w:val="11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2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3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4">
    <w:name w:val="OC表格"/>
    <w:basedOn w:val="35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5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6">
    <w:name w:val="OC标题5"/>
    <w:basedOn w:val="7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7">
    <w:name w:val="comment"/>
    <w:basedOn w:val="1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0</TotalTime>
  <ScaleCrop>false</ScaleCrop>
  <LinksUpToDate>false</LinksUpToDate>
  <CharactersWithSpaces>15288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2021-12-13T06:48:28Z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F8392A99EC37407390CF1CFDCFAD819B</vt:lpwstr>
  </property>
</Properties>
</file>