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Pr>
      <w:r>
        <w:rPr>
          <w:rFonts w:hint="eastAsia"/>
        </w:rPr>
        <w:t>一、</w:t>
      </w:r>
      <w:r>
        <w:rPr>
          <w:rFonts w:hint="eastAsia"/>
          <w:sz w:val="28"/>
          <w:szCs w:val="28"/>
        </w:rPr>
        <w:t>技术和服务要求</w:t>
      </w:r>
    </w:p>
    <w:tbl>
      <w:tblPr>
        <w:tblStyle w:val="4"/>
        <w:tblpPr w:leftFromText="180" w:rightFromText="180" w:vertAnchor="text" w:horzAnchor="margin" w:tblpY="106"/>
        <w:tblW w:w="9634"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1719"/>
        <w:gridCol w:w="6096"/>
        <w:gridCol w:w="1285"/>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1" w:hRule="atLeast"/>
        </w:trPr>
        <w:tc>
          <w:tcPr>
            <w:tcW w:w="534" w:type="dxa"/>
            <w:tcBorders>
              <w:top w:val="double" w:color="auto" w:sz="4" w:space="0"/>
              <w:bottom w:val="single" w:color="auto" w:sz="4" w:space="0"/>
              <w:right w:val="single" w:color="auto" w:sz="6" w:space="0"/>
            </w:tcBorders>
            <w:shd w:val="clear" w:color="auto" w:fill="BEBEBE" w:themeFill="background1" w:themeFillShade="BF"/>
            <w:vAlign w:val="center"/>
          </w:tcPr>
          <w:p>
            <w:pPr>
              <w:jc w:val="center"/>
              <w:rPr>
                <w:rFonts w:ascii="宋体" w:hAnsi="宋体"/>
                <w:b/>
                <w:bCs/>
                <w:szCs w:val="21"/>
              </w:rPr>
            </w:pPr>
            <w:r>
              <w:rPr>
                <w:rFonts w:hint="eastAsia" w:ascii="宋体" w:hAnsi="宋体"/>
                <w:b/>
                <w:bCs/>
                <w:szCs w:val="21"/>
              </w:rPr>
              <w:t>序号</w:t>
            </w:r>
          </w:p>
        </w:tc>
        <w:tc>
          <w:tcPr>
            <w:tcW w:w="1719" w:type="dxa"/>
            <w:tcBorders>
              <w:top w:val="double" w:color="auto" w:sz="4" w:space="0"/>
              <w:left w:val="single" w:color="auto" w:sz="6" w:space="0"/>
              <w:bottom w:val="single" w:color="auto" w:sz="4" w:space="0"/>
              <w:right w:val="single" w:color="auto" w:sz="6" w:space="0"/>
            </w:tcBorders>
            <w:shd w:val="clear" w:color="auto" w:fill="BEBEBE" w:themeFill="background1" w:themeFillShade="BF"/>
            <w:vAlign w:val="center"/>
          </w:tcPr>
          <w:p>
            <w:pPr>
              <w:jc w:val="center"/>
              <w:rPr>
                <w:rFonts w:ascii="宋体" w:hAnsi="宋体"/>
                <w:b/>
                <w:bCs/>
                <w:szCs w:val="21"/>
              </w:rPr>
            </w:pPr>
            <w:r>
              <w:rPr>
                <w:rFonts w:hint="eastAsia" w:ascii="宋体" w:hAnsi="宋体"/>
                <w:b/>
                <w:bCs/>
                <w:szCs w:val="21"/>
              </w:rPr>
              <w:t>产品名称</w:t>
            </w:r>
          </w:p>
        </w:tc>
        <w:tc>
          <w:tcPr>
            <w:tcW w:w="6096" w:type="dxa"/>
            <w:tcBorders>
              <w:top w:val="double" w:color="auto" w:sz="4" w:space="0"/>
              <w:left w:val="single" w:color="auto" w:sz="6" w:space="0"/>
              <w:bottom w:val="single" w:color="auto" w:sz="4" w:space="0"/>
              <w:right w:val="single" w:color="auto" w:sz="6" w:space="0"/>
            </w:tcBorders>
            <w:shd w:val="clear" w:color="auto" w:fill="BEBEBE" w:themeFill="background1" w:themeFillShade="BF"/>
            <w:vAlign w:val="center"/>
          </w:tcPr>
          <w:p>
            <w:pPr>
              <w:jc w:val="center"/>
              <w:rPr>
                <w:b/>
              </w:rPr>
            </w:pPr>
            <w:r>
              <w:rPr>
                <w:rFonts w:hint="eastAsia"/>
                <w:b/>
              </w:rPr>
              <w:t>技术规格及要求</w:t>
            </w:r>
          </w:p>
          <w:p>
            <w:pPr>
              <w:jc w:val="center"/>
              <w:rPr>
                <w:rFonts w:ascii="宋体" w:hAnsi="宋体"/>
                <w:b/>
                <w:bCs/>
                <w:szCs w:val="21"/>
              </w:rPr>
            </w:pPr>
            <w:r>
              <w:rPr>
                <w:rFonts w:hint="eastAsia"/>
                <w:b/>
              </w:rPr>
              <w:t>（服务要求）</w:t>
            </w:r>
          </w:p>
        </w:tc>
        <w:tc>
          <w:tcPr>
            <w:tcW w:w="1285" w:type="dxa"/>
            <w:tcBorders>
              <w:top w:val="double" w:color="auto" w:sz="4" w:space="0"/>
              <w:left w:val="single" w:color="auto" w:sz="6" w:space="0"/>
              <w:bottom w:val="single" w:color="auto" w:sz="4" w:space="0"/>
            </w:tcBorders>
            <w:shd w:val="clear" w:color="auto" w:fill="BEBEBE" w:themeFill="background1" w:themeFillShade="BF"/>
            <w:vAlign w:val="center"/>
          </w:tcPr>
          <w:p>
            <w:pPr>
              <w:jc w:val="center"/>
              <w:rPr>
                <w:rFonts w:ascii="宋体" w:hAnsi="宋体"/>
                <w:b/>
                <w:bCs/>
                <w:szCs w:val="21"/>
              </w:rPr>
            </w:pPr>
            <w:r>
              <w:rPr>
                <w:rFonts w:hint="eastAsia" w:ascii="宋体" w:hAnsi="宋体"/>
                <w:b/>
                <w:bCs/>
                <w:szCs w:val="21"/>
              </w:rPr>
              <w:t>数量</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2" w:hRule="atLeast"/>
        </w:trPr>
        <w:tc>
          <w:tcPr>
            <w:tcW w:w="534" w:type="dxa"/>
            <w:tcBorders>
              <w:top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1</w:t>
            </w:r>
          </w:p>
        </w:tc>
        <w:tc>
          <w:tcPr>
            <w:tcW w:w="171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CA校园正版协议</w:t>
            </w:r>
          </w:p>
        </w:tc>
        <w:tc>
          <w:tcPr>
            <w:tcW w:w="6096" w:type="dxa"/>
            <w:tcBorders>
              <w:top w:val="single" w:color="auto" w:sz="4" w:space="0"/>
              <w:left w:val="single" w:color="auto" w:sz="4" w:space="0"/>
              <w:bottom w:val="single" w:color="auto" w:sz="4" w:space="0"/>
              <w:right w:val="single" w:color="auto" w:sz="4" w:space="0"/>
            </w:tcBorders>
          </w:tcPr>
          <w:p>
            <w:pPr>
              <w:jc w:val="left"/>
              <w:rPr>
                <w:rFonts w:ascii="宋体" w:hAnsi="宋体"/>
                <w:szCs w:val="21"/>
              </w:rPr>
            </w:pPr>
            <w:r>
              <w:rPr>
                <w:rFonts w:hint="eastAsia" w:ascii="宋体" w:hAnsi="宋体"/>
                <w:szCs w:val="21"/>
              </w:rPr>
              <w:t>操作系统：Windows 专业版系列；</w:t>
            </w:r>
          </w:p>
          <w:p>
            <w:pPr>
              <w:jc w:val="left"/>
              <w:rPr>
                <w:rFonts w:ascii="宋体" w:hAnsi="宋体"/>
                <w:szCs w:val="21"/>
              </w:rPr>
            </w:pPr>
            <w:r>
              <w:rPr>
                <w:rFonts w:hint="eastAsia" w:ascii="宋体" w:hAnsi="宋体"/>
                <w:bCs/>
                <w:szCs w:val="21"/>
              </w:rPr>
              <w:t>涵盖范围：全校办公室、实验室和图书馆等场所的所有计算机，包括教职工及学生个人电脑和笔记本，按年授权</w:t>
            </w:r>
            <w:r>
              <w:rPr>
                <w:rFonts w:ascii="宋体" w:hAnsi="宋体"/>
                <w:bCs/>
                <w:szCs w:val="21"/>
              </w:rPr>
              <w:t>。</w:t>
            </w:r>
          </w:p>
          <w:p>
            <w:pPr>
              <w:jc w:val="left"/>
              <w:rPr>
                <w:rFonts w:ascii="宋体" w:hAnsi="宋体"/>
                <w:bCs/>
                <w:szCs w:val="21"/>
              </w:rPr>
            </w:pPr>
            <w:r>
              <w:rPr>
                <w:rFonts w:hint="eastAsia" w:ascii="宋体" w:hAnsi="宋体"/>
                <w:b/>
                <w:szCs w:val="21"/>
              </w:rPr>
              <w:t>*提供权威机构出具的所投产品的检测报告</w:t>
            </w:r>
            <w:r>
              <w:rPr>
                <w:rFonts w:hint="eastAsia" w:ascii="宋体" w:hAnsi="宋体"/>
                <w:szCs w:val="21"/>
              </w:rPr>
              <w:t>。</w:t>
            </w:r>
          </w:p>
        </w:tc>
        <w:tc>
          <w:tcPr>
            <w:tcW w:w="1285" w:type="dxa"/>
            <w:tcBorders>
              <w:top w:val="single" w:color="auto" w:sz="4" w:space="0"/>
              <w:left w:val="single" w:color="auto" w:sz="4" w:space="0"/>
              <w:bottom w:val="single" w:color="auto" w:sz="4" w:space="0"/>
            </w:tcBorders>
            <w:vAlign w:val="center"/>
          </w:tcPr>
          <w:p>
            <w:pPr>
              <w:jc w:val="center"/>
              <w:rPr>
                <w:rFonts w:ascii="宋体" w:hAnsi="宋体"/>
                <w:bCs/>
                <w:szCs w:val="21"/>
              </w:rPr>
            </w:pPr>
            <w:r>
              <w:rPr>
                <w:rFonts w:ascii="宋体" w:hAnsi="宋体"/>
                <w:bCs/>
                <w:szCs w:val="21"/>
              </w:rPr>
              <w:t>1</w:t>
            </w:r>
            <w:r>
              <w:rPr>
                <w:rFonts w:hint="eastAsia" w:ascii="宋体" w:hAnsi="宋体"/>
                <w:bCs/>
                <w:szCs w:val="21"/>
              </w:rPr>
              <w:t>年</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2" w:hRule="atLeast"/>
        </w:trPr>
        <w:tc>
          <w:tcPr>
            <w:tcW w:w="534" w:type="dxa"/>
            <w:tcBorders>
              <w:top w:val="single" w:color="auto" w:sz="4" w:space="0"/>
              <w:bottom w:val="single" w:color="auto" w:sz="4" w:space="0"/>
              <w:right w:val="single" w:color="auto" w:sz="4" w:space="0"/>
            </w:tcBorders>
            <w:vAlign w:val="center"/>
          </w:tcPr>
          <w:p>
            <w:pPr>
              <w:widowControl/>
              <w:jc w:val="center"/>
              <w:rPr>
                <w:rFonts w:ascii="宋体" w:hAnsi="宋体" w:cs="宋体"/>
                <w:szCs w:val="21"/>
              </w:rPr>
            </w:pPr>
            <w:r>
              <w:rPr>
                <w:rFonts w:hint="eastAsia" w:ascii="宋体" w:hAnsi="宋体" w:cs="宋体"/>
                <w:szCs w:val="21"/>
              </w:rPr>
              <w:t>2</w:t>
            </w:r>
          </w:p>
        </w:tc>
        <w:tc>
          <w:tcPr>
            <w:tcW w:w="171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r>
              <w:rPr>
                <w:rFonts w:hint="eastAsia" w:ascii="宋体" w:hAnsi="宋体" w:cs="宋体"/>
                <w:szCs w:val="21"/>
              </w:rPr>
              <w:t>正版软件资源与服务管理平台</w:t>
            </w:r>
          </w:p>
        </w:tc>
        <w:tc>
          <w:tcPr>
            <w:tcW w:w="6096" w:type="dxa"/>
            <w:tcBorders>
              <w:top w:val="single" w:color="auto" w:sz="4" w:space="0"/>
              <w:left w:val="single" w:color="auto" w:sz="4" w:space="0"/>
              <w:bottom w:val="single" w:color="auto" w:sz="4" w:space="0"/>
              <w:right w:val="single" w:color="auto" w:sz="4" w:space="0"/>
            </w:tcBorders>
          </w:tcPr>
          <w:p>
            <w:pPr>
              <w:jc w:val="left"/>
              <w:rPr>
                <w:rFonts w:hint="eastAsia" w:ascii="宋体" w:hAnsi="宋体"/>
                <w:szCs w:val="21"/>
              </w:rPr>
            </w:pPr>
            <w:r>
              <w:rPr>
                <w:rFonts w:hint="eastAsia" w:ascii="宋体" w:hAnsi="宋体"/>
                <w:szCs w:val="21"/>
              </w:rPr>
              <w:t>供应商自主开发，包括软件资源授权与管理系统和软件资源使用与服务系统。</w:t>
            </w:r>
          </w:p>
          <w:p>
            <w:pPr>
              <w:jc w:val="left"/>
              <w:rPr>
                <w:rFonts w:ascii="宋体" w:hAnsi="宋体"/>
                <w:b/>
                <w:bCs/>
                <w:szCs w:val="21"/>
              </w:rPr>
            </w:pPr>
            <w:r>
              <w:rPr>
                <w:rFonts w:hint="eastAsia" w:ascii="宋体" w:hAnsi="宋体"/>
                <w:b/>
                <w:szCs w:val="21"/>
              </w:rPr>
              <w:t>*</w:t>
            </w:r>
            <w:r>
              <w:rPr>
                <w:rFonts w:hint="eastAsia" w:ascii="宋体" w:hAnsi="宋体"/>
                <w:b/>
                <w:bCs/>
                <w:szCs w:val="21"/>
              </w:rPr>
              <w:t>提供</w:t>
            </w:r>
            <w:r>
              <w:rPr>
                <w:rFonts w:ascii="宋体" w:hAnsi="宋体"/>
                <w:b/>
                <w:bCs/>
                <w:szCs w:val="21"/>
              </w:rPr>
              <w:t>软件管理平台</w:t>
            </w:r>
            <w:r>
              <w:rPr>
                <w:rFonts w:hint="eastAsia" w:ascii="宋体" w:hAnsi="宋体"/>
                <w:b/>
                <w:bCs/>
                <w:szCs w:val="21"/>
              </w:rPr>
              <w:t>的</w:t>
            </w:r>
            <w:r>
              <w:rPr>
                <w:rFonts w:ascii="宋体" w:hAnsi="宋体"/>
                <w:b/>
                <w:bCs/>
                <w:szCs w:val="21"/>
              </w:rPr>
              <w:t>软件产品登记证书</w:t>
            </w:r>
            <w:r>
              <w:rPr>
                <w:rFonts w:hint="eastAsia" w:ascii="宋体" w:hAnsi="宋体"/>
                <w:szCs w:val="21"/>
              </w:rPr>
              <w:t>。</w:t>
            </w:r>
          </w:p>
          <w:p>
            <w:pPr>
              <w:jc w:val="left"/>
              <w:rPr>
                <w:rFonts w:ascii="宋体" w:hAnsi="宋体"/>
                <w:bCs/>
                <w:szCs w:val="21"/>
              </w:rPr>
            </w:pPr>
            <w:r>
              <w:rPr>
                <w:rFonts w:hint="eastAsia" w:ascii="宋体" w:hAnsi="宋体"/>
                <w:bCs/>
                <w:szCs w:val="21"/>
              </w:rPr>
              <w:t>▲包括软件资源《授权与管理系统》和软件资源《使用与服务系统》</w:t>
            </w:r>
          </w:p>
          <w:p>
            <w:pPr>
              <w:jc w:val="left"/>
              <w:rPr>
                <w:rFonts w:ascii="宋体" w:hAnsi="宋体"/>
                <w:bCs/>
                <w:szCs w:val="21"/>
              </w:rPr>
            </w:pPr>
            <w:r>
              <w:rPr>
                <w:rFonts w:hint="eastAsia" w:ascii="宋体" w:hAnsi="宋体"/>
                <w:bCs/>
                <w:szCs w:val="21"/>
              </w:rPr>
              <w:t>▲平台采用标准开发接口标准，实现与“全校统一身份认证系统”对接，实现统一的用户身份验证和权限管理。</w:t>
            </w:r>
          </w:p>
          <w:p>
            <w:pPr>
              <w:jc w:val="left"/>
              <w:rPr>
                <w:rFonts w:ascii="宋体" w:hAnsi="宋体"/>
                <w:bCs/>
                <w:szCs w:val="21"/>
              </w:rPr>
            </w:pPr>
            <w:r>
              <w:rPr>
                <w:rFonts w:hint="eastAsia" w:ascii="宋体" w:hAnsi="宋体"/>
                <w:bCs/>
                <w:szCs w:val="21"/>
              </w:rPr>
              <w:t>功能要求：</w:t>
            </w:r>
          </w:p>
          <w:p>
            <w:pPr>
              <w:jc w:val="left"/>
              <w:rPr>
                <w:rFonts w:ascii="宋体" w:hAnsi="宋体"/>
                <w:bCs/>
                <w:szCs w:val="21"/>
              </w:rPr>
            </w:pPr>
            <w:r>
              <w:rPr>
                <w:rFonts w:hint="eastAsia" w:ascii="宋体" w:hAnsi="宋体"/>
                <w:bCs/>
                <w:szCs w:val="21"/>
              </w:rPr>
              <w:t>▲提供自动软件下载与分发、密钥激活和授权使用记录报告等功能，实现对软件资源统一管理。</w:t>
            </w:r>
          </w:p>
          <w:p>
            <w:pPr>
              <w:jc w:val="left"/>
              <w:rPr>
                <w:rFonts w:ascii="宋体" w:hAnsi="宋体"/>
                <w:bCs/>
                <w:szCs w:val="21"/>
              </w:rPr>
            </w:pPr>
            <w:r>
              <w:rPr>
                <w:rFonts w:hint="eastAsia" w:ascii="宋体" w:hAnsi="宋体"/>
                <w:bCs/>
                <w:szCs w:val="21"/>
              </w:rPr>
              <w:t>提供多种授权方式：批量激活方式，用户安装操作系统和软件后，会自动连接至激活服务器进行激活，无需输入序列号；验证码激活方式，“平台”以加密形式保存激活码和激活服务器信息，用户登录“平台”获取可以提供激活的验证码，在客户端输入验证码即可完成激活操作。可对验证码进行管理，以严格限制用户的激活次数。</w:t>
            </w:r>
          </w:p>
          <w:p>
            <w:pPr>
              <w:jc w:val="left"/>
              <w:rPr>
                <w:rFonts w:ascii="宋体" w:hAnsi="宋体"/>
                <w:bCs/>
                <w:szCs w:val="21"/>
              </w:rPr>
            </w:pPr>
            <w:r>
              <w:rPr>
                <w:rFonts w:hint="eastAsia" w:ascii="宋体" w:hAnsi="宋体"/>
                <w:bCs/>
                <w:szCs w:val="21"/>
              </w:rPr>
              <w:t>▲软件资源《授权与管理系统》至少包括如下主要模块，并提供相应软件功能界面的截图：</w:t>
            </w:r>
          </w:p>
          <w:p>
            <w:pPr>
              <w:jc w:val="left"/>
              <w:rPr>
                <w:rFonts w:ascii="宋体" w:hAnsi="宋体"/>
                <w:bCs/>
                <w:szCs w:val="21"/>
              </w:rPr>
            </w:pPr>
            <w:r>
              <w:rPr>
                <w:rFonts w:hint="eastAsia" w:ascii="宋体" w:hAnsi="宋体"/>
                <w:bCs/>
                <w:szCs w:val="21"/>
              </w:rPr>
              <w:t xml:space="preserve">  1）软件使用授权申请；2）软件使用授权审批；3）软件使用记录；4）各类软件使用统计，分析，报表；5）软件激活记录，统计，分析，报表；6）软件下载与使用记录，统计，报表；7）密钥激活和授权使用记录报告</w:t>
            </w:r>
          </w:p>
          <w:p>
            <w:pPr>
              <w:jc w:val="left"/>
              <w:rPr>
                <w:rFonts w:ascii="宋体" w:hAnsi="宋体"/>
                <w:bCs/>
                <w:szCs w:val="21"/>
              </w:rPr>
            </w:pPr>
            <w:r>
              <w:rPr>
                <w:rFonts w:hint="eastAsia" w:ascii="宋体" w:hAnsi="宋体"/>
                <w:bCs/>
                <w:szCs w:val="21"/>
              </w:rPr>
              <w:t>▲软件资源《使用与服务系统》至少包括如下主要模块, 并提供相应软件功能界面的截图 ：</w:t>
            </w:r>
          </w:p>
          <w:p>
            <w:pPr>
              <w:jc w:val="left"/>
              <w:rPr>
                <w:rFonts w:ascii="宋体" w:hAnsi="宋体"/>
                <w:bCs/>
                <w:szCs w:val="21"/>
              </w:rPr>
            </w:pPr>
            <w:r>
              <w:rPr>
                <w:rFonts w:hint="eastAsia" w:ascii="宋体" w:hAnsi="宋体"/>
                <w:bCs/>
                <w:szCs w:val="21"/>
              </w:rPr>
              <w:t>1）软件安装介质上传/下载；2）软件补丁与升级；3）系统防病毒更新库；4）部署服务管理；5）在线客户服务功能；6）客户服务支撑对接：（获得电话邮件服务支持）；</w:t>
            </w:r>
          </w:p>
          <w:p>
            <w:pPr>
              <w:jc w:val="left"/>
              <w:rPr>
                <w:rFonts w:ascii="宋体" w:hAnsi="宋体"/>
                <w:bCs/>
                <w:szCs w:val="21"/>
              </w:rPr>
            </w:pPr>
            <w:r>
              <w:rPr>
                <w:rFonts w:hint="eastAsia" w:ascii="宋体" w:hAnsi="宋体"/>
                <w:bCs/>
                <w:szCs w:val="21"/>
              </w:rPr>
              <w:t>提供软件自助安装支持：用户可以在平台中通过网络安装管理员预先定义好的驱动程度和软件，提高软件安装效率和服务满意度；</w:t>
            </w:r>
          </w:p>
          <w:p>
            <w:pPr>
              <w:jc w:val="left"/>
              <w:rPr>
                <w:rFonts w:ascii="宋体" w:hAnsi="宋体"/>
                <w:bCs/>
                <w:szCs w:val="21"/>
              </w:rPr>
            </w:pPr>
            <w:r>
              <w:rPr>
                <w:rFonts w:hint="eastAsia" w:ascii="宋体" w:hAnsi="宋体"/>
                <w:bCs/>
                <w:szCs w:val="21"/>
              </w:rPr>
              <w:t>▲自动更新操作系统和其他正版软件：用户可自动更新操作系统和其他正版软件，避免遭受恶意攻击的风险。在“平台”中集中创建和管理应用程序实例，用户通过软件更新模块可以检索出所有可用的应用程序，并完成远程安装。</w:t>
            </w:r>
          </w:p>
          <w:p>
            <w:pPr>
              <w:jc w:val="left"/>
              <w:rPr>
                <w:rFonts w:ascii="宋体" w:hAnsi="宋体"/>
                <w:bCs/>
                <w:szCs w:val="21"/>
              </w:rPr>
            </w:pPr>
            <w:r>
              <w:rPr>
                <w:rFonts w:hint="eastAsia" w:ascii="宋体" w:hAnsi="宋体"/>
                <w:bCs/>
                <w:szCs w:val="21"/>
              </w:rPr>
              <w:t>驱动备份功能：能给用户提供备份电脑中目前已安装的最新驱动程序的功能。在重装电脑系统前，可将电脑中的驱动程序备份到指 定的位置，可以将 Windows 安装程序搜索驱动的路径指向备份的驱动程序所在路径， 即可快速完成各种硬件设备的驱动安装工作。</w:t>
            </w:r>
          </w:p>
          <w:p>
            <w:pPr>
              <w:jc w:val="left"/>
              <w:rPr>
                <w:rFonts w:ascii="宋体" w:hAnsi="宋体"/>
                <w:bCs/>
                <w:szCs w:val="21"/>
              </w:rPr>
            </w:pPr>
            <w:r>
              <w:rPr>
                <w:rFonts w:hint="eastAsia" w:ascii="宋体" w:hAnsi="宋体"/>
                <w:bCs/>
                <w:szCs w:val="21"/>
              </w:rPr>
              <w:t>操作系统本地智能部署：通过平台提供的自定义部署介质，统一安装操作系统和相关软件，安装过程实现智能自动化，无需用户交互操作。操作系统本地部署模块将操作系统、软件、驱动程序和配置文件集成到 操作系统部署过程中，用户只需在“平台”完成向导，即可在后续的过程中全自动执行系统部署。</w:t>
            </w:r>
          </w:p>
          <w:p>
            <w:pPr>
              <w:jc w:val="left"/>
              <w:rPr>
                <w:rFonts w:ascii="宋体" w:hAnsi="宋体"/>
                <w:bCs/>
                <w:szCs w:val="21"/>
              </w:rPr>
            </w:pPr>
            <w:r>
              <w:rPr>
                <w:rFonts w:hint="eastAsia" w:ascii="宋体" w:hAnsi="宋体"/>
                <w:bCs/>
                <w:szCs w:val="21"/>
              </w:rPr>
              <w:t>▲操作系统远程智能部署：用户可以通过操作系统远程部署模块为本地计算机安装操作系统，安装过程实现智能自动化，无需用户交互操作。操作系统添加自定义的标志、驱动程序和软件，包括操作系统许可条款、 注册信息、桌面主题、浏览器（收藏夹、可信站点）</w:t>
            </w:r>
          </w:p>
        </w:tc>
        <w:tc>
          <w:tcPr>
            <w:tcW w:w="1285" w:type="dxa"/>
            <w:tcBorders>
              <w:top w:val="single" w:color="auto" w:sz="4" w:space="0"/>
              <w:left w:val="single" w:color="auto" w:sz="4" w:space="0"/>
              <w:bottom w:val="single" w:color="auto" w:sz="4" w:space="0"/>
            </w:tcBorders>
            <w:vAlign w:val="center"/>
          </w:tcPr>
          <w:p>
            <w:pPr>
              <w:jc w:val="center"/>
              <w:rPr>
                <w:rFonts w:hint="eastAsia" w:ascii="宋体" w:hAnsi="宋体" w:eastAsia="宋体"/>
                <w:bCs/>
                <w:szCs w:val="21"/>
                <w:lang w:val="en-US" w:eastAsia="zh-CN"/>
              </w:rPr>
            </w:pPr>
            <w:r>
              <w:rPr>
                <w:rFonts w:hint="eastAsia" w:ascii="宋体" w:hAnsi="宋体"/>
                <w:bCs/>
                <w:szCs w:val="21"/>
              </w:rPr>
              <w:t>1</w:t>
            </w:r>
            <w:r>
              <w:rPr>
                <w:rFonts w:hint="eastAsia" w:ascii="宋体" w:hAnsi="宋体"/>
                <w:bCs/>
                <w:szCs w:val="21"/>
                <w:lang w:val="en-US" w:eastAsia="zh-CN"/>
              </w:rPr>
              <w:t>年</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2" w:hRule="atLeast"/>
        </w:trPr>
        <w:tc>
          <w:tcPr>
            <w:tcW w:w="534" w:type="dxa"/>
            <w:tcBorders>
              <w:top w:val="single" w:color="auto" w:sz="4" w:space="0"/>
              <w:bottom w:val="single" w:color="auto" w:sz="4" w:space="0"/>
              <w:right w:val="single" w:color="auto" w:sz="4" w:space="0"/>
            </w:tcBorders>
            <w:vAlign w:val="center"/>
          </w:tcPr>
          <w:p>
            <w:pPr>
              <w:widowControl/>
              <w:jc w:val="center"/>
              <w:rPr>
                <w:rFonts w:ascii="宋体" w:hAnsi="宋体" w:cs="宋体"/>
                <w:szCs w:val="21"/>
              </w:rPr>
            </w:pPr>
            <w:r>
              <w:rPr>
                <w:rFonts w:hint="eastAsia" w:ascii="宋体" w:hAnsi="宋体" w:cs="宋体"/>
                <w:szCs w:val="21"/>
              </w:rPr>
              <w:t>3</w:t>
            </w:r>
          </w:p>
        </w:tc>
        <w:tc>
          <w:tcPr>
            <w:tcW w:w="171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r>
              <w:rPr>
                <w:rFonts w:hint="eastAsia" w:ascii="宋体" w:hAnsi="宋体" w:cs="宋体"/>
                <w:szCs w:val="21"/>
              </w:rPr>
              <w:t>软件正版化售后服务</w:t>
            </w:r>
          </w:p>
        </w:tc>
        <w:tc>
          <w:tcPr>
            <w:tcW w:w="6096" w:type="dxa"/>
            <w:tcBorders>
              <w:top w:val="single" w:color="auto" w:sz="4" w:space="0"/>
              <w:left w:val="single" w:color="auto" w:sz="4" w:space="0"/>
              <w:bottom w:val="single" w:color="auto" w:sz="4" w:space="0"/>
              <w:right w:val="single" w:color="auto" w:sz="4" w:space="0"/>
            </w:tcBorders>
          </w:tcPr>
          <w:p>
            <w:pPr>
              <w:jc w:val="left"/>
              <w:rPr>
                <w:rFonts w:ascii="宋体" w:hAnsi="宋体"/>
                <w:szCs w:val="21"/>
              </w:rPr>
            </w:pPr>
            <w:r>
              <w:rPr>
                <w:rFonts w:hint="eastAsia" w:ascii="宋体" w:hAnsi="宋体"/>
                <w:szCs w:val="21"/>
              </w:rPr>
              <w:t>服务范围：全校教职工</w:t>
            </w:r>
          </w:p>
          <w:p>
            <w:pPr>
              <w:jc w:val="left"/>
              <w:rPr>
                <w:rFonts w:ascii="宋体" w:hAnsi="宋体"/>
                <w:szCs w:val="21"/>
              </w:rPr>
            </w:pPr>
            <w:r>
              <w:rPr>
                <w:rFonts w:hint="eastAsia" w:ascii="宋体" w:hAnsi="宋体"/>
                <w:szCs w:val="21"/>
              </w:rPr>
              <w:t>服务内容：包括软件下载、安装、部署、激活、使用、升级、日常咨询等多项内容的售后服务支持</w:t>
            </w:r>
          </w:p>
          <w:p>
            <w:pPr>
              <w:jc w:val="left"/>
              <w:rPr>
                <w:rFonts w:ascii="宋体" w:hAnsi="宋体"/>
                <w:szCs w:val="21"/>
              </w:rPr>
            </w:pPr>
            <w:r>
              <w:rPr>
                <w:rFonts w:hint="eastAsia" w:ascii="宋体" w:hAnsi="宋体"/>
                <w:szCs w:val="21"/>
              </w:rPr>
              <w:t>服务方式：</w:t>
            </w:r>
            <w:r>
              <w:rPr>
                <w:rFonts w:ascii="宋体" w:hAnsi="宋体"/>
                <w:szCs w:val="21"/>
              </w:rPr>
              <w:t>400</w:t>
            </w:r>
            <w:r>
              <w:rPr>
                <w:rFonts w:hint="eastAsia" w:ascii="宋体" w:hAnsi="宋体"/>
                <w:szCs w:val="21"/>
              </w:rPr>
              <w:t>电话热线和网络咨询服务(5*8小时/周)</w:t>
            </w:r>
          </w:p>
        </w:tc>
        <w:tc>
          <w:tcPr>
            <w:tcW w:w="1285" w:type="dxa"/>
            <w:tcBorders>
              <w:top w:val="single" w:color="auto" w:sz="4" w:space="0"/>
              <w:left w:val="single" w:color="auto" w:sz="4" w:space="0"/>
              <w:bottom w:val="single" w:color="auto" w:sz="4" w:space="0"/>
            </w:tcBorders>
            <w:vAlign w:val="center"/>
          </w:tcPr>
          <w:p>
            <w:pPr>
              <w:jc w:val="center"/>
              <w:rPr>
                <w:rFonts w:ascii="宋体" w:hAnsi="宋体"/>
                <w:bCs/>
                <w:szCs w:val="21"/>
              </w:rPr>
            </w:pPr>
            <w:r>
              <w:rPr>
                <w:rFonts w:ascii="宋体" w:hAnsi="宋体"/>
                <w:bCs/>
                <w:szCs w:val="21"/>
              </w:rPr>
              <w:t>1</w:t>
            </w:r>
            <w:r>
              <w:rPr>
                <w:rFonts w:hint="eastAsia" w:ascii="宋体" w:hAnsi="宋体"/>
                <w:bCs/>
                <w:szCs w:val="21"/>
              </w:rPr>
              <w:t>年</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4" w:hRule="atLeast"/>
        </w:trPr>
        <w:tc>
          <w:tcPr>
            <w:tcW w:w="534" w:type="dxa"/>
            <w:tcBorders>
              <w:top w:val="single" w:color="auto" w:sz="4" w:space="0"/>
              <w:bottom w:val="single" w:color="auto" w:sz="4" w:space="0"/>
              <w:right w:val="single" w:color="auto" w:sz="4" w:space="0"/>
            </w:tcBorders>
            <w:vAlign w:val="center"/>
          </w:tcPr>
          <w:p>
            <w:pPr>
              <w:widowControl/>
              <w:jc w:val="center"/>
              <w:rPr>
                <w:rFonts w:ascii="宋体" w:hAnsi="宋体" w:cs="宋体"/>
                <w:szCs w:val="21"/>
              </w:rPr>
            </w:pPr>
            <w:r>
              <w:rPr>
                <w:rFonts w:hint="eastAsia" w:ascii="宋体" w:hAnsi="宋体" w:cs="宋体"/>
                <w:szCs w:val="21"/>
              </w:rPr>
              <w:t>4</w:t>
            </w:r>
          </w:p>
        </w:tc>
        <w:tc>
          <w:tcPr>
            <w:tcW w:w="171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r>
              <w:rPr>
                <w:rFonts w:hint="eastAsia" w:ascii="宋体" w:hAnsi="宋体" w:cs="宋体"/>
                <w:szCs w:val="21"/>
              </w:rPr>
              <w:t>office365云服务教育版</w:t>
            </w:r>
          </w:p>
        </w:tc>
        <w:tc>
          <w:tcPr>
            <w:tcW w:w="6096" w:type="dxa"/>
            <w:tcBorders>
              <w:top w:val="single" w:color="auto" w:sz="4" w:space="0"/>
              <w:left w:val="single" w:color="auto" w:sz="4" w:space="0"/>
              <w:bottom w:val="single" w:color="auto" w:sz="4" w:space="0"/>
              <w:right w:val="single" w:color="auto" w:sz="4" w:space="0"/>
            </w:tcBorders>
          </w:tcPr>
          <w:p>
            <w:pPr>
              <w:jc w:val="left"/>
              <w:rPr>
                <w:rFonts w:ascii="宋体" w:hAnsi="宋体"/>
                <w:bCs/>
                <w:szCs w:val="21"/>
              </w:rPr>
            </w:pPr>
            <w:r>
              <w:rPr>
                <w:rFonts w:hint="eastAsia" w:ascii="宋体" w:hAnsi="宋体"/>
                <w:bCs/>
                <w:szCs w:val="21"/>
              </w:rPr>
              <w:t>对</w:t>
            </w:r>
            <w:r>
              <w:rPr>
                <w:rFonts w:hint="eastAsia" w:ascii="宋体" w:hAnsi="宋体"/>
                <w:bCs/>
                <w:szCs w:val="21"/>
                <w:lang w:val="en-US" w:eastAsia="zh-CN"/>
              </w:rPr>
              <w:t>全校</w:t>
            </w:r>
            <w:r>
              <w:rPr>
                <w:rFonts w:hint="eastAsia" w:ascii="宋体" w:hAnsi="宋体"/>
                <w:bCs/>
                <w:szCs w:val="21"/>
              </w:rPr>
              <w:t>师生免费提供office 365 E1教育版账号；</w:t>
            </w:r>
          </w:p>
        </w:tc>
        <w:tc>
          <w:tcPr>
            <w:tcW w:w="1285" w:type="dxa"/>
            <w:tcBorders>
              <w:top w:val="single" w:color="auto" w:sz="4" w:space="0"/>
              <w:left w:val="single" w:color="auto" w:sz="4" w:space="0"/>
              <w:bottom w:val="single" w:color="auto" w:sz="4" w:space="0"/>
            </w:tcBorders>
            <w:vAlign w:val="center"/>
          </w:tcPr>
          <w:p>
            <w:pPr>
              <w:jc w:val="center"/>
              <w:rPr>
                <w:rFonts w:ascii="宋体" w:hAnsi="宋体"/>
                <w:bCs/>
                <w:szCs w:val="21"/>
              </w:rPr>
            </w:pPr>
            <w:r>
              <w:rPr>
                <w:rFonts w:ascii="宋体" w:hAnsi="宋体"/>
                <w:bCs/>
                <w:szCs w:val="21"/>
              </w:rPr>
              <w:t>1</w:t>
            </w:r>
            <w:r>
              <w:rPr>
                <w:rFonts w:hint="eastAsia" w:ascii="宋体" w:hAnsi="宋体"/>
                <w:bCs/>
                <w:szCs w:val="21"/>
              </w:rPr>
              <w:t>年</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4" w:hRule="atLeast"/>
        </w:trPr>
        <w:tc>
          <w:tcPr>
            <w:tcW w:w="534" w:type="dxa"/>
            <w:tcBorders>
              <w:top w:val="single" w:color="auto" w:sz="4" w:space="0"/>
              <w:bottom w:val="single" w:color="auto" w:sz="4" w:space="0"/>
              <w:right w:val="single" w:color="auto" w:sz="4" w:space="0"/>
            </w:tcBorders>
            <w:vAlign w:val="center"/>
          </w:tcPr>
          <w:p>
            <w:pPr>
              <w:widowControl/>
              <w:jc w:val="center"/>
              <w:rPr>
                <w:rFonts w:ascii="宋体" w:hAnsi="宋体" w:cs="宋体"/>
                <w:szCs w:val="21"/>
              </w:rPr>
            </w:pPr>
            <w:r>
              <w:rPr>
                <w:rFonts w:hint="eastAsia" w:ascii="宋体" w:hAnsi="宋体" w:cs="宋体"/>
                <w:szCs w:val="21"/>
              </w:rPr>
              <w:t>5</w:t>
            </w:r>
          </w:p>
        </w:tc>
        <w:tc>
          <w:tcPr>
            <w:tcW w:w="171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r>
              <w:rPr>
                <w:rFonts w:hint="eastAsia" w:ascii="宋体" w:hAnsi="宋体" w:cs="宋体"/>
                <w:szCs w:val="21"/>
              </w:rPr>
              <w:t>金山W</w:t>
            </w:r>
            <w:r>
              <w:rPr>
                <w:rFonts w:ascii="宋体" w:hAnsi="宋体" w:cs="宋体"/>
                <w:szCs w:val="21"/>
              </w:rPr>
              <w:t>PS</w:t>
            </w:r>
            <w:r>
              <w:rPr>
                <w:rFonts w:hint="eastAsia" w:ascii="宋体" w:hAnsi="宋体" w:cs="宋体"/>
                <w:szCs w:val="21"/>
              </w:rPr>
              <w:t>+云办公（商业版）</w:t>
            </w:r>
          </w:p>
        </w:tc>
        <w:tc>
          <w:tcPr>
            <w:tcW w:w="6096" w:type="dxa"/>
            <w:tcBorders>
              <w:top w:val="single" w:color="auto" w:sz="4" w:space="0"/>
              <w:left w:val="single" w:color="auto" w:sz="4" w:space="0"/>
              <w:bottom w:val="single" w:color="auto" w:sz="4" w:space="0"/>
              <w:right w:val="single" w:color="auto" w:sz="4" w:space="0"/>
            </w:tcBorders>
          </w:tcPr>
          <w:p>
            <w:r>
              <w:rPr>
                <w:rFonts w:hint="eastAsia"/>
              </w:rPr>
              <w:t>1、投标产品须包含基础的文字处理、电子表格、演示文稿功能模块，且能集成在一个程序界面运行，一个程序界面中可同时处理文字、演示、表格、PDF等多种格式的文档（通过页签切换不同的文档）。</w:t>
            </w:r>
          </w:p>
          <w:p>
            <w:r>
              <w:rPr>
                <w:rFonts w:hint="eastAsia"/>
              </w:rPr>
              <w:t xml:space="preserve">2、产品可支持外网云文档服务，可将本机的文档保存在云端，可以支持在任何设备上访问文档，且所有创建、编辑、阅读等都会被同步。 </w:t>
            </w:r>
          </w:p>
          <w:p>
            <w:r>
              <w:rPr>
                <w:rFonts w:hint="eastAsia"/>
              </w:rPr>
              <w:t>3、所投产品不是基于java语言开发以及系统运行环境不依赖于java环境。</w:t>
            </w:r>
          </w:p>
          <w:p>
            <w:r>
              <w:rPr>
                <w:rFonts w:hint="eastAsia"/>
              </w:rPr>
              <w:t>4、办公软件内置浏览器，把网页访问融入办公软件窗口中，使办公与互联网融合度更高。若在文档中点击超链接，在办公软件界面中即可浏览。</w:t>
            </w:r>
          </w:p>
          <w:p>
            <w:r>
              <w:rPr>
                <w:rFonts w:hint="eastAsia"/>
              </w:rPr>
              <w:t>5、文字模块，支持“划词翻译”功能，支持中、英、日等多国语言的互相翻译，可对翻译结果进行复制和插入到正文，可通过快捷键控制是否开启划词。</w:t>
            </w:r>
          </w:p>
          <w:p>
            <w:r>
              <w:rPr>
                <w:rFonts w:hint="eastAsia"/>
              </w:rPr>
              <w:t>6、文字模块提供智能导航窗格的功能，在没有目录时，可根据文章的内容可以自动识别文章结构。</w:t>
            </w:r>
          </w:p>
          <w:p>
            <w:r>
              <w:rPr>
                <w:rFonts w:hint="eastAsia"/>
              </w:rPr>
              <w:t>7、文字模块页面布局时提供主题功能，能够快速高效格式化文档，可以对文档的样式、颜色、字体进行统一的设置。</w:t>
            </w:r>
          </w:p>
          <w:p>
            <w:r>
              <w:rPr>
                <w:rFonts w:hint="eastAsia"/>
              </w:rPr>
              <w:t>8、表格模块，支持多张工作表或者多份Sheet的数据智能合并。解决工作中多份数据合并处理的问题，提高工作效率。</w:t>
            </w:r>
          </w:p>
          <w:p>
            <w:r>
              <w:rPr>
                <w:rFonts w:hint="eastAsia"/>
              </w:rPr>
              <w:t>9、表格模块支持文件一键瘦身功能，能有效地减少文件体积，节省存储空间。</w:t>
            </w:r>
          </w:p>
          <w:p>
            <w:r>
              <w:rPr>
                <w:rFonts w:hint="eastAsia"/>
              </w:rPr>
              <w:t>10、表格模块支持单项筛选功能，即能够在筛选列表中一键筛选某一个值。</w:t>
            </w:r>
          </w:p>
          <w:p>
            <w:r>
              <w:rPr>
                <w:rFonts w:hint="eastAsia"/>
              </w:rPr>
              <w:t>11、演示模块，支持会议功能，可实现演示文档的共享播放及语音同步。</w:t>
            </w:r>
          </w:p>
          <w:p>
            <w:r>
              <w:rPr>
                <w:rFonts w:hint="eastAsia"/>
              </w:rPr>
              <w:t>12、演示模块提供一键批量替换演示文稿中的字体的功能。</w:t>
            </w:r>
          </w:p>
          <w:p>
            <w:r>
              <w:rPr>
                <w:rFonts w:hint="eastAsia"/>
              </w:rPr>
              <w:t>13、演示模块支持一键魔法美化（AI一键美化，自动套用互联网精美模板），可对演示模板进行设计板式、配色调色、统一字体和字号、为图片加效果等作用。</w:t>
            </w:r>
          </w:p>
          <w:p>
            <w:r>
              <w:rPr>
                <w:rFonts w:hint="eastAsia"/>
              </w:rPr>
              <w:t>14、演示模块需内置手机遥控功能，可以通过手机对进入播放状态的PPT文稿进行翻页控制。</w:t>
            </w:r>
          </w:p>
          <w:p>
            <w:r>
              <w:rPr>
                <w:rFonts w:hint="eastAsia"/>
              </w:rPr>
              <w:t>15、云文档服务支持通过多种登陆方式，包括手机号、邮箱、微信、钉钉、微博、QQ等。</w:t>
            </w:r>
          </w:p>
          <w:p>
            <w:r>
              <w:rPr>
                <w:rFonts w:hint="eastAsia"/>
              </w:rPr>
              <w:t>16、云文档服务支持个人空间存放用户私密文档，其他用户和管理员无权访问。</w:t>
            </w:r>
          </w:p>
          <w:p>
            <w:r>
              <w:rPr>
                <w:rFonts w:hint="eastAsia"/>
              </w:rPr>
              <w:t>17、云文档服务支持自建团队，由用户自行按照组织架构、业务小组、临时性项目等需求进行创建和管理。</w:t>
            </w:r>
          </w:p>
          <w:p>
            <w:r>
              <w:rPr>
                <w:rFonts w:hint="eastAsia"/>
              </w:rPr>
              <w:t>18、云文档服务支持分享外链，支持分享范围（任何人、指定人员）、操作权限、有效期等设置。</w:t>
            </w:r>
          </w:p>
          <w:p>
            <w:r>
              <w:rPr>
                <w:rFonts w:hint="eastAsia"/>
              </w:rPr>
              <w:t>19、云文档服务支持office文档多人在线编辑，无需安装本地Office软件和浏览器控件，包括PC端和移动端，且每个人所做的编辑内容都会形成历史记录，可随时还原。</w:t>
            </w:r>
          </w:p>
          <w:p>
            <w:r>
              <w:rPr>
                <w:rFonts w:hint="eastAsia"/>
              </w:rPr>
              <w:t>20、云文档服务支持大文件的断点续传，相同文件的秒传。</w:t>
            </w:r>
          </w:p>
          <w:p>
            <w:r>
              <w:rPr>
                <w:rFonts w:hint="eastAsia"/>
              </w:rPr>
              <w:t>21、云文档服务支持自动或手动将本地文档进行多端漫游。</w:t>
            </w:r>
          </w:p>
          <w:p>
            <w:r>
              <w:rPr>
                <w:rFonts w:hint="eastAsia"/>
              </w:rPr>
              <w:t>22、云文档服务允许每个文件最多1000个历史版本，版本文件可预览、下载、还原和删除。</w:t>
            </w:r>
          </w:p>
          <w:p>
            <w:r>
              <w:rPr>
                <w:rFonts w:hint="eastAsia"/>
              </w:rPr>
              <w:t>23、云文档服务支持根据关键字对文档内容进行全文检索，支持txt文本、Office文档、PDF，并支持组合条件检索（文档类型、目录、创建时间等）。</w:t>
            </w:r>
          </w:p>
          <w:p>
            <w:r>
              <w:rPr>
                <w:rFonts w:hint="eastAsia"/>
              </w:rPr>
              <w:t>24、云文档服务支持评论文件，可以针对文件进行评论。</w:t>
            </w:r>
          </w:p>
          <w:p>
            <w:r>
              <w:rPr>
                <w:rFonts w:hint="eastAsia"/>
              </w:rPr>
              <w:t>25、云文档服务支持在线创建多种文档：doc、xls、ppt、流程图、思维导图、便签等。</w:t>
            </w:r>
          </w:p>
          <w:p>
            <w:r>
              <w:rPr>
                <w:rFonts w:hint="eastAsia"/>
              </w:rPr>
              <w:t>26、文档转换服务：支持PDF转换/拆分/合并、文档转PDF/图片、图片转PDF/Word（可识别扫描件中的文字，还原排版效果）</w:t>
            </w:r>
          </w:p>
          <w:p>
            <w:r>
              <w:rPr>
                <w:rFonts w:hint="eastAsia"/>
              </w:rPr>
              <w:t>27、办公体验优化：可在办公软件中将当前打开的文档发送到手机</w:t>
            </w:r>
          </w:p>
          <w:p>
            <w:r>
              <w:rPr>
                <w:rFonts w:hint="eastAsia"/>
              </w:rPr>
              <w:t>28、朗读服务：提供全文、当页、选中文字的即时语音朗读，可调整语调语速，并输出保存为音频文件</w:t>
            </w:r>
          </w:p>
        </w:tc>
        <w:tc>
          <w:tcPr>
            <w:tcW w:w="1285" w:type="dxa"/>
            <w:tcBorders>
              <w:top w:val="single" w:color="auto" w:sz="4" w:space="0"/>
              <w:left w:val="single" w:color="auto" w:sz="4" w:space="0"/>
              <w:bottom w:val="single" w:color="auto" w:sz="4" w:space="0"/>
            </w:tcBorders>
            <w:vAlign w:val="center"/>
          </w:tcPr>
          <w:p>
            <w:pPr>
              <w:jc w:val="left"/>
              <w:rPr>
                <w:rFonts w:ascii="宋体" w:hAnsi="宋体"/>
                <w:bCs/>
                <w:szCs w:val="21"/>
              </w:rPr>
            </w:pPr>
            <w:r>
              <w:rPr>
                <w:rFonts w:hint="eastAsia" w:ascii="宋体" w:hAnsi="宋体" w:cs="宋体"/>
                <w:szCs w:val="21"/>
              </w:rPr>
              <w:t>1000个账号/</w:t>
            </w:r>
            <w:r>
              <w:rPr>
                <w:rFonts w:ascii="宋体" w:hAnsi="宋体" w:cs="宋体"/>
                <w:szCs w:val="21"/>
              </w:rPr>
              <w:t>1</w:t>
            </w:r>
            <w:r>
              <w:rPr>
                <w:rFonts w:hint="eastAsia" w:ascii="宋体" w:hAnsi="宋体" w:cs="宋体"/>
                <w:szCs w:val="21"/>
              </w:rPr>
              <w:t>年，（在福建中医药大学范围内WPS Office 2019办公套件可以不限数量使用。）</w:t>
            </w:r>
          </w:p>
        </w:tc>
      </w:tr>
    </w:tbl>
    <w:p>
      <w:pPr>
        <w:pStyle w:val="2"/>
      </w:pPr>
      <w:r>
        <w:rPr>
          <w:rFonts w:hint="eastAsia"/>
          <w:sz w:val="28"/>
          <w:szCs w:val="28"/>
          <w:lang w:val="en-US" w:eastAsia="zh-CN"/>
        </w:rPr>
        <w:t>二、</w:t>
      </w:r>
      <w:r>
        <w:rPr>
          <w:rFonts w:hint="eastAsia"/>
          <w:sz w:val="28"/>
          <w:szCs w:val="28"/>
        </w:rPr>
        <w:t>服务要求</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166355"/>
    <w:rsid w:val="09361D36"/>
    <w:rsid w:val="52935F28"/>
    <w:rsid w:val="5C48093A"/>
    <w:rsid w:val="780371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line="578" w:lineRule="auto"/>
      <w:jc w:val="left"/>
      <w:outlineLvl w:val="0"/>
    </w:pPr>
    <w:rPr>
      <w:b/>
      <w:bCs/>
      <w:kern w:val="44"/>
      <w:sz w:val="30"/>
      <w:szCs w:val="44"/>
    </w:rPr>
  </w:style>
  <w:style w:type="character" w:default="1" w:styleId="5">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table" w:styleId="4">
    <w:name w:val="Table Grid"/>
    <w:basedOn w:val="3"/>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Office_11.1.0.8597_F1E327BC-269C-435d-A152-05C5408002CA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2019-11-18T02:28:00Z</dcterms:created>
  <dc:creator>郑怀宇</dc:creator>
  <cp:lastModifiedBy>不哭</cp:lastModifiedBy>
  <dcterms:modified xsi:type="dcterms:W3CDTF">2019-11-18T02:46:31Z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2052-11.1.0.8597</vt:lpwstr>
  </property>
</Properties>
</file>